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both"/>
        <w:rPr>
          <w:rFonts w:ascii="Times New Roman" w:hAnsi="Times New Roman" w:eastAsia="Times New Roman" w:cs="Times New Roman"/>
        </w:rPr>
      </w:pPr>
      <w:r>
        <w:rPr>
          <w:rFonts w:cs="Times New Roman" w:ascii="Times New Roman" w:hAnsi="Times New Roman"/>
          <w:color w:val="auto"/>
          <w:w w:val="105"/>
        </w:rPr>
        <w:t>ACCORDO</w:t>
      </w:r>
      <w:r>
        <w:rPr>
          <w:rFonts w:cs="Times New Roman" w:ascii="Times New Roman" w:hAnsi="Times New Roman"/>
          <w:color w:val="auto"/>
          <w:spacing w:val="52"/>
          <w:w w:val="105"/>
        </w:rPr>
        <w:t xml:space="preserve"> </w:t>
      </w:r>
      <w:r>
        <w:rPr>
          <w:rFonts w:cs="Times New Roman" w:ascii="Times New Roman" w:hAnsi="Times New Roman"/>
          <w:color w:val="auto"/>
          <w:w w:val="105"/>
        </w:rPr>
        <w:t>INTEGRATIVO</w:t>
      </w:r>
      <w:r>
        <w:rPr>
          <w:rFonts w:cs="Times New Roman" w:ascii="Times New Roman" w:hAnsi="Times New Roman"/>
          <w:color w:val="auto"/>
          <w:spacing w:val="47"/>
          <w:w w:val="105"/>
        </w:rPr>
        <w:t xml:space="preserve"> </w:t>
      </w:r>
      <w:r>
        <w:rPr>
          <w:rFonts w:cs="Times New Roman" w:ascii="Times New Roman" w:hAnsi="Times New Roman"/>
          <w:color w:val="auto"/>
          <w:w w:val="105"/>
        </w:rPr>
        <w:t>NAZIONALE</w:t>
      </w:r>
      <w:r>
        <w:rPr>
          <w:rFonts w:cs="Times New Roman" w:ascii="Times New Roman" w:hAnsi="Times New Roman"/>
          <w:color w:val="auto"/>
          <w:spacing w:val="60"/>
          <w:w w:val="105"/>
        </w:rPr>
        <w:t xml:space="preserve"> </w:t>
      </w:r>
      <w:r>
        <w:rPr>
          <w:rFonts w:cs="Times New Roman" w:ascii="Times New Roman" w:hAnsi="Times New Roman"/>
          <w:color w:val="auto"/>
          <w:w w:val="105"/>
        </w:rPr>
        <w:t>CONCERNENTE</w:t>
      </w:r>
      <w:r>
        <w:rPr>
          <w:rFonts w:cs="Times New Roman" w:ascii="Times New Roman" w:hAnsi="Times New Roman"/>
          <w:color w:val="auto"/>
          <w:spacing w:val="58"/>
          <w:w w:val="105"/>
        </w:rPr>
        <w:t xml:space="preserve"> </w:t>
      </w:r>
      <w:r>
        <w:rPr>
          <w:rFonts w:cs="Times New Roman" w:ascii="Times New Roman" w:hAnsi="Times New Roman"/>
          <w:color w:val="auto"/>
          <w:w w:val="105"/>
        </w:rPr>
        <w:t>LA</w:t>
      </w:r>
      <w:r>
        <w:rPr>
          <w:rFonts w:cs="Times New Roman" w:ascii="Times New Roman" w:hAnsi="Times New Roman"/>
          <w:color w:val="auto"/>
          <w:spacing w:val="43"/>
          <w:w w:val="105"/>
        </w:rPr>
        <w:t xml:space="preserve"> </w:t>
      </w:r>
      <w:r>
        <w:rPr>
          <w:rFonts w:cs="Times New Roman" w:ascii="Times New Roman" w:hAnsi="Times New Roman"/>
          <w:color w:val="auto"/>
          <w:w w:val="105"/>
        </w:rPr>
        <w:t>DISTRIBUZIONE</w:t>
      </w:r>
      <w:r>
        <w:rPr>
          <w:rFonts w:cs="Times New Roman" w:ascii="Times New Roman" w:hAnsi="Times New Roman"/>
          <w:color w:val="auto"/>
          <w:spacing w:val="46"/>
          <w:w w:val="105"/>
        </w:rPr>
        <w:t xml:space="preserve"> </w:t>
      </w:r>
      <w:r>
        <w:rPr>
          <w:rFonts w:cs="Times New Roman" w:ascii="Times New Roman" w:hAnsi="Times New Roman"/>
          <w:color w:val="auto"/>
          <w:w w:val="105"/>
        </w:rPr>
        <w:t>AL</w:t>
      </w:r>
      <w:r>
        <w:rPr>
          <w:rFonts w:cs="Times New Roman" w:ascii="Times New Roman" w:hAnsi="Times New Roman"/>
          <w:color w:val="auto"/>
        </w:rPr>
        <w:t xml:space="preserve"> </w:t>
      </w:r>
      <w:r>
        <w:rPr>
          <w:rFonts w:cs="Times New Roman" w:ascii="Times New Roman" w:hAnsi="Times New Roman"/>
          <w:color w:val="auto"/>
          <w:w w:val="105"/>
        </w:rPr>
        <w:t>PERSONALE</w:t>
      </w:r>
      <w:r>
        <w:rPr>
          <w:rFonts w:cs="Times New Roman" w:ascii="Times New Roman" w:hAnsi="Times New Roman"/>
          <w:color w:val="auto"/>
          <w:spacing w:val="1"/>
          <w:w w:val="105"/>
        </w:rPr>
        <w:t xml:space="preserve"> DIRETTIVO E </w:t>
      </w:r>
      <w:r>
        <w:rPr>
          <w:rFonts w:cs="Times New Roman" w:ascii="Times New Roman" w:hAnsi="Times New Roman"/>
          <w:color w:val="auto"/>
          <w:w w:val="105"/>
        </w:rPr>
        <w:t>NON</w:t>
      </w:r>
      <w:r>
        <w:rPr>
          <w:rFonts w:cs="Times New Roman" w:ascii="Times New Roman" w:hAnsi="Times New Roman"/>
          <w:color w:val="auto"/>
          <w:spacing w:val="43"/>
          <w:w w:val="105"/>
        </w:rPr>
        <w:t xml:space="preserve"> </w:t>
      </w:r>
      <w:r>
        <w:rPr>
          <w:rFonts w:cs="Times New Roman" w:ascii="Times New Roman" w:hAnsi="Times New Roman"/>
          <w:color w:val="auto"/>
          <w:w w:val="105"/>
        </w:rPr>
        <w:t>DIRETTIVO</w:t>
      </w:r>
      <w:r>
        <w:rPr>
          <w:rFonts w:cs="Times New Roman" w:ascii="Times New Roman" w:hAnsi="Times New Roman"/>
          <w:color w:val="auto"/>
          <w:spacing w:val="44"/>
          <w:w w:val="105"/>
        </w:rPr>
        <w:t xml:space="preserve"> </w:t>
      </w:r>
      <w:r>
        <w:rPr>
          <w:rFonts w:cs="Times New Roman" w:ascii="Times New Roman" w:hAnsi="Times New Roman"/>
          <w:color w:val="auto"/>
          <w:w w:val="105"/>
        </w:rPr>
        <w:t>E</w:t>
      </w:r>
      <w:r>
        <w:rPr>
          <w:rFonts w:cs="Times New Roman" w:ascii="Times New Roman" w:hAnsi="Times New Roman"/>
          <w:color w:val="auto"/>
          <w:spacing w:val="34"/>
          <w:w w:val="105"/>
        </w:rPr>
        <w:t xml:space="preserve"> </w:t>
      </w:r>
      <w:r>
        <w:rPr>
          <w:rFonts w:cs="Times New Roman" w:ascii="Times New Roman" w:hAnsi="Times New Roman"/>
          <w:color w:val="auto"/>
          <w:w w:val="105"/>
        </w:rPr>
        <w:t>NON</w:t>
      </w:r>
      <w:r>
        <w:rPr>
          <w:rFonts w:cs="Times New Roman" w:ascii="Times New Roman" w:hAnsi="Times New Roman"/>
          <w:color w:val="auto"/>
          <w:spacing w:val="47"/>
          <w:w w:val="105"/>
        </w:rPr>
        <w:t xml:space="preserve"> </w:t>
      </w:r>
      <w:r>
        <w:rPr>
          <w:rFonts w:cs="Times New Roman" w:ascii="Times New Roman" w:hAnsi="Times New Roman"/>
          <w:color w:val="auto"/>
          <w:w w:val="105"/>
        </w:rPr>
        <w:t>DIRIGENTE</w:t>
      </w:r>
      <w:r>
        <w:rPr>
          <w:rFonts w:cs="Times New Roman" w:ascii="Times New Roman" w:hAnsi="Times New Roman"/>
          <w:color w:val="auto"/>
          <w:spacing w:val="56"/>
          <w:w w:val="105"/>
        </w:rPr>
        <w:t xml:space="preserve"> </w:t>
      </w:r>
      <w:r>
        <w:rPr>
          <w:rFonts w:cs="Times New Roman" w:ascii="Times New Roman" w:hAnsi="Times New Roman"/>
          <w:color w:val="auto"/>
          <w:w w:val="105"/>
        </w:rPr>
        <w:t>CHE</w:t>
      </w:r>
      <w:r>
        <w:rPr>
          <w:rFonts w:cs="Times New Roman" w:ascii="Times New Roman" w:hAnsi="Times New Roman"/>
          <w:color w:val="auto"/>
          <w:spacing w:val="31"/>
          <w:w w:val="105"/>
        </w:rPr>
        <w:t xml:space="preserve"> </w:t>
      </w:r>
      <w:r>
        <w:rPr>
          <w:rFonts w:cs="Times New Roman" w:ascii="Times New Roman" w:hAnsi="Times New Roman"/>
          <w:color w:val="auto"/>
          <w:w w:val="105"/>
        </w:rPr>
        <w:t>ESPLETA</w:t>
      </w:r>
      <w:r>
        <w:rPr>
          <w:rFonts w:cs="Times New Roman" w:ascii="Times New Roman" w:hAnsi="Times New Roman"/>
          <w:color w:val="auto"/>
          <w:spacing w:val="46"/>
          <w:w w:val="105"/>
        </w:rPr>
        <w:t xml:space="preserve"> </w:t>
      </w:r>
      <w:r>
        <w:rPr>
          <w:rFonts w:cs="Times New Roman" w:ascii="Times New Roman" w:hAnsi="Times New Roman"/>
          <w:color w:val="auto"/>
          <w:w w:val="105"/>
        </w:rPr>
        <w:t>FUNZIONI</w:t>
      </w:r>
      <w:r>
        <w:rPr>
          <w:rFonts w:cs="Times New Roman" w:ascii="Times New Roman" w:hAnsi="Times New Roman"/>
          <w:color w:val="auto"/>
          <w:w w:val="102"/>
        </w:rPr>
        <w:t xml:space="preserve"> </w:t>
      </w:r>
      <w:r>
        <w:rPr>
          <w:rFonts w:cs="Times New Roman" w:ascii="Times New Roman" w:hAnsi="Times New Roman"/>
          <w:color w:val="auto"/>
          <w:w w:val="105"/>
        </w:rPr>
        <w:t>SPECIALISTICHE</w:t>
      </w:r>
      <w:r>
        <w:rPr>
          <w:rFonts w:cs="Times New Roman" w:ascii="Times New Roman" w:hAnsi="Times New Roman"/>
          <w:color w:val="auto"/>
          <w:spacing w:val="46"/>
          <w:w w:val="105"/>
        </w:rPr>
        <w:t xml:space="preserve"> </w:t>
      </w:r>
      <w:r>
        <w:rPr>
          <w:rFonts w:cs="Times New Roman" w:ascii="Times New Roman" w:hAnsi="Times New Roman"/>
          <w:color w:val="auto"/>
          <w:w w:val="105"/>
        </w:rPr>
        <w:t>(AERONAVIGANTI,</w:t>
      </w:r>
      <w:r>
        <w:rPr>
          <w:rFonts w:cs="Times New Roman" w:ascii="Times New Roman" w:hAnsi="Times New Roman"/>
          <w:color w:val="auto"/>
          <w:spacing w:val="32"/>
          <w:w w:val="105"/>
        </w:rPr>
        <w:t xml:space="preserve"> </w:t>
      </w:r>
      <w:r>
        <w:rPr>
          <w:rFonts w:cs="Times New Roman" w:ascii="Times New Roman" w:hAnsi="Times New Roman"/>
          <w:color w:val="auto"/>
          <w:w w:val="105"/>
        </w:rPr>
        <w:t>NAUTICI E SOMMOZZATORI)</w:t>
      </w:r>
      <w:r>
        <w:rPr>
          <w:rFonts w:cs="Times New Roman" w:ascii="Times New Roman" w:hAnsi="Times New Roman"/>
          <w:color w:val="auto"/>
          <w:spacing w:val="58"/>
          <w:w w:val="105"/>
        </w:rPr>
        <w:t xml:space="preserve"> </w:t>
      </w:r>
      <w:r>
        <w:rPr>
          <w:rFonts w:cs="Times New Roman" w:ascii="Times New Roman" w:hAnsi="Times New Roman"/>
          <w:color w:val="auto"/>
          <w:w w:val="105"/>
        </w:rPr>
        <w:t>DEL CNVVF DELLE RISORSE DI CUI ALL’ARTICOLO 15, COMMA 5, DEL DECRETO LEGISLATIVO 19 AGOSTO 2016, N. 177 ED ALL'ARTICOLO 10, COMMA 5, DEL DECRETO LEGISLATIVO 6 OTTOBRE 2018, N. 127.</w:t>
      </w:r>
    </w:p>
    <w:p>
      <w:pPr>
        <w:pStyle w:val="Normal"/>
        <w:rPr>
          <w:rFonts w:ascii="Times New Roman" w:hAnsi="Times New Roman" w:eastAsia="Times New Roman" w:cs="Times New Roman"/>
          <w:strike/>
          <w:color w:val="auto"/>
        </w:rPr>
      </w:pPr>
      <w:r>
        <w:rPr>
          <w:rFonts w:eastAsia="Times New Roman" w:cs="Times New Roman" w:ascii="Times New Roman" w:hAnsi="Times New Roman"/>
          <w:strike/>
          <w:color w:val="auto"/>
        </w:rPr>
      </w:r>
    </w:p>
    <w:p>
      <w:pPr>
        <w:pStyle w:val="Normal"/>
        <w:spacing w:before="0" w:after="120"/>
        <w:jc w:val="both"/>
        <w:rPr>
          <w:rFonts w:ascii="Times New Roman" w:hAnsi="Times New Roman" w:cs="Times New Roman"/>
        </w:rPr>
      </w:pPr>
      <w:r>
        <w:rPr>
          <w:rFonts w:cs="Times New Roman" w:ascii="Times New Roman" w:hAnsi="Times New Roman"/>
          <w:color w:val="auto"/>
        </w:rPr>
        <w:t xml:space="preserve">VISTI gli articoli 47 e 48 del CCNL 1998-2001 e gli articoli 23 e 26 del CCNL 2002-2005  ai sensi dei quali si provvede, mediante le risorse del fondo di amministrazione di cui all’articolo 6 del decreto del Presidente della Repubblica n. 41 del 15 marzo 2018 e del fondo di produttività di cui all’articolo 5 del decreto del Presidente della Repubblica n. 42 del 15 marzo 2018, all’erogazione delle indennità specialistiche in favore del personale elicotterista, operatore subacqueo e nautico; </w:t>
      </w:r>
    </w:p>
    <w:p>
      <w:pPr>
        <w:pStyle w:val="Normal"/>
        <w:spacing w:before="0" w:after="120"/>
        <w:jc w:val="both"/>
        <w:rPr>
          <w:rFonts w:ascii="Times New Roman" w:hAnsi="Times New Roman" w:cs="Times New Roman"/>
        </w:rPr>
      </w:pPr>
      <w:r>
        <w:rPr>
          <w:rFonts w:cs="Times New Roman" w:ascii="Times New Roman" w:hAnsi="Times New Roman"/>
          <w:color w:val="auto"/>
        </w:rPr>
        <w:t xml:space="preserve">VISTO l’accordo del </w:t>
      </w:r>
      <w:r>
        <w:rPr>
          <w:rFonts w:eastAsia="Times New Roman" w:cs="Times New Roman" w:ascii="Times New Roman" w:hAnsi="Times New Roman"/>
          <w:color w:val="auto"/>
          <w:lang w:eastAsia="it-IT"/>
        </w:rPr>
        <w:t xml:space="preserve">22 novembre 2004 </w:t>
      </w:r>
      <w:r>
        <w:rPr>
          <w:rFonts w:cs="Times New Roman" w:ascii="Times New Roman" w:hAnsi="Times New Roman"/>
          <w:color w:val="auto"/>
        </w:rPr>
        <w:t xml:space="preserve">relativo alla definizione delle modalità e dei criteri per l'attribuzione delle indennità al personale del settore aeronavigante, al personale specialista sommozzatore e nautico; </w:t>
      </w:r>
    </w:p>
    <w:p>
      <w:pPr>
        <w:pStyle w:val="Normal"/>
        <w:spacing w:before="0" w:after="120"/>
        <w:jc w:val="both"/>
        <w:rPr>
          <w:rFonts w:ascii="Times New Roman" w:hAnsi="Times New Roman" w:cs="Times New Roman"/>
        </w:rPr>
      </w:pPr>
      <w:r>
        <w:rPr>
          <w:rFonts w:cs="Times New Roman" w:ascii="Times New Roman" w:hAnsi="Times New Roman"/>
          <w:color w:val="auto"/>
        </w:rPr>
        <w:t>VISTO l'articolo 15, comma 5, del decreto legislativo 19 agosto 2016, n. 177 che, per assicurare i livelli di funzionalità della lotta attiva contro gli incendi boschivi e dello spegnimento con mezzi aerei degli stessi, fa confluire ai fondi incentivanti del comparto di negoziazione  “Vigili del fuoco e soccorso pubblico” le risorse finanziarie destinate alla spesa retributiva del personale aeronavigante del Corpo Forestale dello Stato assorbito dal 1° gennaio 2017 nel Corpo nazionale dei vigili del fuoco;</w:t>
      </w:r>
    </w:p>
    <w:p>
      <w:pPr>
        <w:pStyle w:val="Normal"/>
        <w:spacing w:before="0" w:after="120"/>
        <w:jc w:val="both"/>
        <w:rPr>
          <w:rFonts w:ascii="Times New Roman" w:hAnsi="Times New Roman" w:cs="Times New Roman"/>
        </w:rPr>
      </w:pPr>
      <w:r>
        <w:rPr>
          <w:rFonts w:cs="Times New Roman" w:ascii="Times New Roman" w:hAnsi="Times New Roman"/>
          <w:color w:val="auto"/>
        </w:rPr>
        <w:t>VISTO l’articolo 29 del decreto legislativo 13 ottobre 2005, n. 217, introdotto dall’articolo 2 del decreto legislativo 6 ottobre 2018, n. 127, che istituisce appositi ruoli del personale non direttivo e non dirigente che espleta funzioni specialistiche;</w:t>
      </w:r>
    </w:p>
    <w:p>
      <w:pPr>
        <w:pStyle w:val="Normal"/>
        <w:spacing w:before="0" w:after="120"/>
        <w:jc w:val="both"/>
        <w:rPr>
          <w:rFonts w:ascii="Times New Roman" w:hAnsi="Times New Roman" w:cs="Times New Roman"/>
        </w:rPr>
      </w:pPr>
      <w:r>
        <w:rPr>
          <w:rFonts w:cs="Times New Roman" w:ascii="Times New Roman" w:hAnsi="Times New Roman"/>
          <w:color w:val="auto"/>
        </w:rPr>
        <w:t>VISTI gli articoli 13-quarter, 13-quinquies, 13-sexies e 13-septies del decreto legislativo 29 maggio 2017, n. 97, introdotti dall’articolo 8 del richiamato decreto legislativo n. 127 del 2018, che istituisce appositi ruoli ad esaurimento di direttivi speciali che espletano funzioni specialistiche;</w:t>
      </w:r>
    </w:p>
    <w:p>
      <w:pPr>
        <w:pStyle w:val="Normal"/>
        <w:spacing w:before="0" w:after="120"/>
        <w:jc w:val="both"/>
        <w:rPr>
          <w:rFonts w:ascii="Times New Roman" w:hAnsi="Times New Roman" w:cs="Times New Roman"/>
        </w:rPr>
      </w:pPr>
      <w:r>
        <w:rPr>
          <w:rFonts w:cs="Times New Roman" w:ascii="Times New Roman" w:hAnsi="Times New Roman"/>
          <w:color w:val="auto"/>
        </w:rPr>
        <w:t xml:space="preserve">VISTO </w:t>
      </w:r>
      <w:r>
        <w:rPr>
          <w:rFonts w:cs="Times New Roman" w:ascii="Times New Roman" w:hAnsi="Times New Roman"/>
          <w:color w:val="auto"/>
        </w:rPr>
        <w:t>l’articolo 17-bis, comma 5, del decreto legislativo 29 maggio 2017, n. 97, inserito dall</w:t>
      </w:r>
      <w:r>
        <w:rPr>
          <w:rFonts w:cs="Times New Roman" w:ascii="Times New Roman" w:hAnsi="Times New Roman"/>
          <w:color w:val="auto"/>
        </w:rPr>
        <w:t>’articolo 10, comma 5, del decreto legislativo n. 127 del 2018 che, a decorrere dall’anno 2018, destina l’importo di euro 1.200.000,00 (al lordo degli oneri a carico dello Stato) per incrementare le indennità  attribuite al personale inquadrato nei ruoli degli specialisti aeronaviganti, nautici e sommozzatori, prevedendo altresì che, per il solo anno 2018, siano gli accordi integrativi nazionali di cui agli articoli 140, comma 1, e 230, comma 1, del decreto legislativo n. 217 del 2015 a definire gli incrementi dei vigenti istituti retributivi accessori correlati alle suddette specialità;</w:t>
      </w:r>
    </w:p>
    <w:p>
      <w:pPr>
        <w:pStyle w:val="Normal"/>
        <w:spacing w:before="0" w:after="120"/>
        <w:jc w:val="both"/>
        <w:rPr>
          <w:rFonts w:ascii="Times New Roman" w:hAnsi="Times New Roman" w:cs="Times New Roman"/>
          <w:color w:val="FF0000"/>
          <w:sz w:val="24"/>
          <w:szCs w:val="24"/>
        </w:rPr>
      </w:pPr>
      <w:r>
        <w:rPr>
          <w:rFonts w:cs="Times New Roman" w:ascii="Times New Roman" w:hAnsi="Times New Roman"/>
          <w:color w:val="auto"/>
          <w:sz w:val="24"/>
          <w:szCs w:val="24"/>
        </w:rPr>
        <w:t>VISTO l’articolo 20, comma 5, del decreto-legge 16 luglio 2020, n. 76 che, allo scopo di armonizzare il sistema delle indennità spettanti al personale che espleta funzioni specialistiche del Corpo nazionale dei vigili del fuoco con quello del personale delle Forze di polizia, ha incrementato le risorse stanziate dall’anno 2019 dal sopra citato articolo 17-bis, comma 5, di 2.114.128 euro per l’anno 2021 e di 7.047.094 euro a decorrere dall’anno 2022, da distribuire, tramite il procedimento negoziale di cui agli articoli 136 e 226 del decreto legislativo 13 ottobre 2005, n. 217, a decorrere dall’anno 2019;</w:t>
      </w:r>
    </w:p>
    <w:p>
      <w:pPr>
        <w:pStyle w:val="Normal"/>
        <w:spacing w:before="0" w:after="120"/>
        <w:jc w:val="both"/>
        <w:rPr>
          <w:rFonts w:ascii="Times New Roman" w:hAnsi="Times New Roman" w:cs="Times New Roman"/>
          <w:sz w:val="24"/>
          <w:szCs w:val="24"/>
        </w:rPr>
      </w:pPr>
      <w:r>
        <w:rPr>
          <w:rFonts w:cs="Times New Roman" w:ascii="Times New Roman" w:hAnsi="Times New Roman"/>
          <w:color w:val="auto"/>
        </w:rPr>
        <w:t>CONSIDERATO che a decorrere dall’anno 2017 i fondi incentivanti del personale direttivo e del personale non dirigente e non direttivo sono incrementati, in applicazione del richiamato articolo 15, comma 5, del decreto legislativo n. 177 del 2016, dell’importo complessivo di euro 701.622,4, corrispondente alla quota della spesa retributiva del personale del CFS assorbito nel CNVVF non utilizzata per corrispondere al predetto personale gli istituti retributivi vigenti nel comparto di negoziazione “Vigili del fuoco e soccorso pubblico”;</w:t>
      </w:r>
    </w:p>
    <w:p>
      <w:pPr>
        <w:pStyle w:val="Normal"/>
        <w:spacing w:before="0" w:after="120"/>
        <w:jc w:val="both"/>
        <w:rPr>
          <w:rFonts w:ascii="Times New Roman" w:hAnsi="Times New Roman" w:cs="Times New Roman"/>
          <w:sz w:val="24"/>
          <w:szCs w:val="24"/>
        </w:rPr>
      </w:pPr>
      <w:r>
        <w:rPr>
          <w:rFonts w:cs="Times New Roman" w:ascii="Times New Roman" w:hAnsi="Times New Roman"/>
          <w:color w:val="auto"/>
        </w:rPr>
        <w:t>CONSIDERATO che a decorrere dall’anno 2018 i fondi incentivanti del personale direttivo e non dirigente e non direttivo sono incrementati dell’importo complessivo di euro 904.295, corrispondente alla somma, al netto degli oneri a carico dello Stato, assegnata dal richiamato articolo 10, comma 5, del decreto legislativo n. 127 del 2018;</w:t>
      </w:r>
    </w:p>
    <w:p>
      <w:pPr>
        <w:pStyle w:val="Normal"/>
        <w:spacing w:before="0" w:after="120"/>
        <w:jc w:val="both"/>
        <w:rPr>
          <w:rFonts w:ascii="Times New Roman" w:hAnsi="Times New Roman" w:cs="Times New Roman"/>
          <w:color w:val="FF0000"/>
          <w:sz w:val="24"/>
          <w:szCs w:val="24"/>
        </w:rPr>
      </w:pPr>
      <w:r>
        <w:rPr>
          <w:rFonts w:cs="Times New Roman" w:ascii="Times New Roman" w:hAnsi="Times New Roman"/>
          <w:color w:val="auto"/>
        </w:rPr>
        <w:t>CONSIDERATO che i fondi di amministrazione del personale non dirigente e non direttivo e di produttività del personale direttivo dispongono di risorse aventi natura certa e stabile non impiegate per remunerare istituti retributivi corrisposti in via continuativa, utilizzabili a decorrere dall’anno 2019;</w:t>
      </w:r>
    </w:p>
    <w:p>
      <w:pPr>
        <w:pStyle w:val="Normal"/>
        <w:spacing w:before="0" w:after="120"/>
        <w:jc w:val="both"/>
        <w:rPr>
          <w:rFonts w:ascii="Times New Roman" w:hAnsi="Times New Roman" w:cs="Times New Roman"/>
          <w:color w:val="FF0000"/>
          <w:sz w:val="24"/>
          <w:szCs w:val="24"/>
        </w:rPr>
      </w:pPr>
      <w:r>
        <w:rPr>
          <w:rFonts w:cs="Times New Roman" w:ascii="Times New Roman" w:hAnsi="Times New Roman"/>
          <w:color w:val="auto"/>
        </w:rPr>
        <w:t>TENUTO CONTO che, ai sensi del CCNL 1998-2001, articolo 48, comma 2, lettera j, le risorse dei suddetti fondi possono essere destinate per compensare l’esercizio di compiti che comportano specifiche responsabilità ovvero per fronteggiare particolari condizioni di lavoro da individuare in sede aziendale, e fra questi rientrano a pieno titolo le attività svolte dal personale aeronavigante con funzioni di elisoccorritore;</w:t>
      </w:r>
    </w:p>
    <w:p>
      <w:pPr>
        <w:pStyle w:val="Normal"/>
        <w:spacing w:before="0" w:after="120"/>
        <w:jc w:val="both"/>
        <w:rPr>
          <w:rFonts w:ascii="Times New Roman" w:hAnsi="Times New Roman" w:cs="Times New Roman"/>
          <w:sz w:val="24"/>
          <w:szCs w:val="24"/>
        </w:rPr>
      </w:pPr>
      <w:r>
        <w:rPr>
          <w:rFonts w:cs="Times New Roman" w:ascii="Times New Roman" w:hAnsi="Times New Roman"/>
          <w:color w:val="auto"/>
        </w:rPr>
        <w:t xml:space="preserve">TENUTO CONTO che le unità di personale specialista aeronavigante in servizio negli anni 2017 e 2018 e le unità di personale sommozzatore e nautico in servizio nell’anno 2018 sono quelle riportate nella sottostante tabella: </w:t>
      </w:r>
    </w:p>
    <w:tbl>
      <w:tblPr>
        <w:tblStyle w:val="Grigliatabella"/>
        <w:tblW w:w="9464" w:type="dxa"/>
        <w:jc w:val="left"/>
        <w:tblInd w:w="284" w:type="dxa"/>
        <w:tblCellMar>
          <w:top w:w="0" w:type="dxa"/>
          <w:left w:w="108" w:type="dxa"/>
          <w:bottom w:w="0" w:type="dxa"/>
          <w:right w:w="108" w:type="dxa"/>
        </w:tblCellMar>
        <w:tblLook w:firstRow="1" w:noVBand="1" w:lastRow="0" w:firstColumn="1" w:lastColumn="0" w:noHBand="0" w:val="04a0"/>
      </w:tblPr>
      <w:tblGrid>
        <w:gridCol w:w="4218"/>
        <w:gridCol w:w="2550"/>
        <w:gridCol w:w="2696"/>
      </w:tblGrid>
      <w:tr>
        <w:trPr/>
        <w:tc>
          <w:tcPr>
            <w:tcW w:w="4218" w:type="dxa"/>
            <w:tcBorders/>
            <w:shd w:color="auto" w:fill="auto" w:val="clear"/>
          </w:tcPr>
          <w:p>
            <w:pPr>
              <w:pStyle w:val="Normal"/>
              <w:jc w:val="center"/>
              <w:rPr>
                <w:rFonts w:ascii="Times New Roman" w:hAnsi="Times New Roman" w:cs="Times New Roman"/>
                <w:b/>
                <w:b/>
                <w:szCs w:val="24"/>
              </w:rPr>
            </w:pPr>
            <w:r>
              <w:rPr>
                <w:rFonts w:cs="Times New Roman" w:ascii="Times New Roman" w:hAnsi="Times New Roman"/>
                <w:b/>
                <w:color w:val="auto"/>
              </w:rPr>
              <w:t>Specialità</w:t>
            </w:r>
          </w:p>
        </w:tc>
        <w:tc>
          <w:tcPr>
            <w:tcW w:w="2550" w:type="dxa"/>
            <w:tcBorders/>
            <w:shd w:color="auto" w:fill="auto" w:val="clear"/>
          </w:tcPr>
          <w:p>
            <w:pPr>
              <w:pStyle w:val="Normal"/>
              <w:jc w:val="center"/>
              <w:rPr>
                <w:rFonts w:ascii="Times New Roman" w:hAnsi="Times New Roman" w:cs="Times New Roman"/>
                <w:b/>
                <w:b/>
                <w:szCs w:val="24"/>
              </w:rPr>
            </w:pPr>
            <w:r>
              <w:rPr>
                <w:rFonts w:cs="Times New Roman" w:ascii="Times New Roman" w:hAnsi="Times New Roman"/>
                <w:b/>
                <w:color w:val="auto"/>
              </w:rPr>
              <w:t>Unità presenti nel 2017</w:t>
            </w:r>
          </w:p>
        </w:tc>
        <w:tc>
          <w:tcPr>
            <w:tcW w:w="2696" w:type="dxa"/>
            <w:tcBorders/>
            <w:shd w:color="auto" w:fill="auto" w:val="clear"/>
          </w:tcPr>
          <w:p>
            <w:pPr>
              <w:pStyle w:val="Normal"/>
              <w:jc w:val="center"/>
              <w:rPr>
                <w:rFonts w:ascii="Times New Roman" w:hAnsi="Times New Roman" w:cs="Times New Roman"/>
                <w:b/>
                <w:b/>
                <w:szCs w:val="24"/>
              </w:rPr>
            </w:pPr>
            <w:r>
              <w:rPr>
                <w:rFonts w:cs="Times New Roman" w:ascii="Times New Roman" w:hAnsi="Times New Roman"/>
                <w:b/>
                <w:color w:val="auto"/>
              </w:rPr>
              <w:t>Unità presenti nel 2018</w:t>
            </w:r>
          </w:p>
        </w:tc>
      </w:tr>
      <w:tr>
        <w:trPr/>
        <w:tc>
          <w:tcPr>
            <w:tcW w:w="4218" w:type="dxa"/>
            <w:tcBorders/>
            <w:shd w:color="auto" w:fill="auto" w:val="clear"/>
          </w:tcPr>
          <w:p>
            <w:pPr>
              <w:pStyle w:val="Normal"/>
              <w:jc w:val="both"/>
              <w:rPr>
                <w:rFonts w:ascii="Times New Roman" w:hAnsi="Times New Roman" w:cs="Times New Roman"/>
                <w:szCs w:val="24"/>
              </w:rPr>
            </w:pPr>
            <w:r>
              <w:rPr>
                <w:rFonts w:cs="Times New Roman" w:ascii="Times New Roman" w:hAnsi="Times New Roman"/>
                <w:color w:val="auto"/>
              </w:rPr>
              <w:t>Aeronaviganti – piloti</w:t>
            </w:r>
          </w:p>
        </w:tc>
        <w:tc>
          <w:tcPr>
            <w:tcW w:w="2550" w:type="dxa"/>
            <w:tcBorders/>
            <w:shd w:color="auto" w:fill="auto" w:val="clear"/>
          </w:tcPr>
          <w:p>
            <w:pPr>
              <w:pStyle w:val="Normal"/>
              <w:jc w:val="center"/>
              <w:rPr>
                <w:rFonts w:ascii="Times New Roman" w:hAnsi="Times New Roman" w:cs="Times New Roman"/>
              </w:rPr>
            </w:pPr>
            <w:r>
              <w:rPr>
                <w:rFonts w:cs="Times New Roman" w:ascii="Times New Roman" w:hAnsi="Times New Roman"/>
                <w:color w:val="auto"/>
              </w:rPr>
              <w:t>135</w:t>
            </w:r>
          </w:p>
        </w:tc>
        <w:tc>
          <w:tcPr>
            <w:tcW w:w="2696" w:type="dxa"/>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color w:val="auto"/>
              </w:rPr>
              <w:t>140</w:t>
            </w:r>
          </w:p>
        </w:tc>
      </w:tr>
      <w:tr>
        <w:trPr/>
        <w:tc>
          <w:tcPr>
            <w:tcW w:w="4218" w:type="dxa"/>
            <w:tcBorders/>
            <w:shd w:color="auto" w:fill="auto" w:val="clear"/>
          </w:tcPr>
          <w:p>
            <w:pPr>
              <w:pStyle w:val="Normal"/>
              <w:jc w:val="both"/>
              <w:rPr>
                <w:rFonts w:ascii="Times New Roman" w:hAnsi="Times New Roman" w:cs="Times New Roman"/>
                <w:szCs w:val="24"/>
              </w:rPr>
            </w:pPr>
            <w:r>
              <w:rPr>
                <w:rFonts w:cs="Times New Roman" w:ascii="Times New Roman" w:hAnsi="Times New Roman"/>
                <w:color w:val="auto"/>
              </w:rPr>
              <w:t>Aeronaviganti - specialisti</w:t>
            </w:r>
          </w:p>
        </w:tc>
        <w:tc>
          <w:tcPr>
            <w:tcW w:w="2550" w:type="dxa"/>
            <w:tcBorders/>
            <w:shd w:color="auto" w:fill="auto" w:val="clear"/>
          </w:tcPr>
          <w:p>
            <w:pPr>
              <w:pStyle w:val="Normal"/>
              <w:jc w:val="center"/>
              <w:rPr>
                <w:rFonts w:ascii="Times New Roman" w:hAnsi="Times New Roman" w:cs="Times New Roman"/>
              </w:rPr>
            </w:pPr>
            <w:r>
              <w:rPr>
                <w:rFonts w:cs="Times New Roman" w:ascii="Times New Roman" w:hAnsi="Times New Roman"/>
                <w:color w:val="auto"/>
              </w:rPr>
              <w:t>206</w:t>
            </w:r>
          </w:p>
        </w:tc>
        <w:tc>
          <w:tcPr>
            <w:tcW w:w="2696" w:type="dxa"/>
            <w:tcBorders/>
            <w:shd w:color="auto" w:fill="auto" w:val="clear"/>
            <w:vAlign w:val="center"/>
          </w:tcPr>
          <w:p>
            <w:pPr>
              <w:pStyle w:val="Normal"/>
              <w:jc w:val="center"/>
              <w:rPr>
                <w:rFonts w:ascii="Times New Roman" w:hAnsi="Times New Roman" w:cs="Times New Roman"/>
              </w:rPr>
            </w:pPr>
            <w:r>
              <w:rPr>
                <w:rFonts w:cs="Times New Roman" w:ascii="Times New Roman" w:hAnsi="Times New Roman"/>
                <w:color w:val="auto"/>
              </w:rPr>
              <w:t>205</w:t>
            </w:r>
          </w:p>
        </w:tc>
      </w:tr>
      <w:tr>
        <w:trPr/>
        <w:tc>
          <w:tcPr>
            <w:tcW w:w="4218" w:type="dxa"/>
            <w:tcBorders/>
            <w:shd w:color="auto" w:fill="auto" w:val="clear"/>
          </w:tcPr>
          <w:p>
            <w:pPr>
              <w:pStyle w:val="Normal"/>
              <w:jc w:val="both"/>
              <w:rPr>
                <w:rFonts w:ascii="Times New Roman" w:hAnsi="Times New Roman" w:cs="Times New Roman"/>
                <w:szCs w:val="24"/>
              </w:rPr>
            </w:pPr>
            <w:r>
              <w:rPr>
                <w:rFonts w:cs="Times New Roman" w:ascii="Times New Roman" w:hAnsi="Times New Roman"/>
                <w:color w:val="auto"/>
              </w:rPr>
              <w:t>Sommozzatori</w:t>
            </w:r>
          </w:p>
        </w:tc>
        <w:tc>
          <w:tcPr>
            <w:tcW w:w="2550" w:type="dxa"/>
            <w:tcBorders/>
            <w:shd w:color="auto" w:fill="auto" w:val="pct50"/>
          </w:tcPr>
          <w:p>
            <w:pPr>
              <w:pStyle w:val="Normal"/>
              <w:jc w:val="center"/>
              <w:rPr>
                <w:rFonts w:ascii="Times New Roman" w:hAnsi="Times New Roman" w:cs="Times New Roman"/>
                <w:color w:val="auto"/>
              </w:rPr>
            </w:pPr>
            <w:r>
              <w:rPr>
                <w:rFonts w:cs="Times New Roman" w:ascii="Times New Roman" w:hAnsi="Times New Roman"/>
                <w:color w:val="auto"/>
              </w:rPr>
            </w:r>
          </w:p>
        </w:tc>
        <w:tc>
          <w:tcPr>
            <w:tcW w:w="2696" w:type="dxa"/>
            <w:tcBorders/>
            <w:shd w:color="auto" w:fill="auto" w:val="clear"/>
          </w:tcPr>
          <w:p>
            <w:pPr>
              <w:pStyle w:val="Normal"/>
              <w:jc w:val="center"/>
              <w:rPr>
                <w:rFonts w:ascii="Times New Roman" w:hAnsi="Times New Roman" w:cs="Times New Roman"/>
              </w:rPr>
            </w:pPr>
            <w:r>
              <w:rPr>
                <w:rFonts w:cs="Times New Roman" w:ascii="Times New Roman" w:hAnsi="Times New Roman"/>
                <w:color w:val="auto"/>
              </w:rPr>
              <w:t>442</w:t>
            </w:r>
          </w:p>
        </w:tc>
      </w:tr>
      <w:tr>
        <w:trPr/>
        <w:tc>
          <w:tcPr>
            <w:tcW w:w="4218" w:type="dxa"/>
            <w:tcBorders/>
            <w:shd w:color="auto" w:fill="auto" w:val="clear"/>
          </w:tcPr>
          <w:p>
            <w:pPr>
              <w:pStyle w:val="Normal"/>
              <w:jc w:val="both"/>
              <w:rPr>
                <w:rFonts w:ascii="Times New Roman" w:hAnsi="Times New Roman" w:cs="Times New Roman"/>
                <w:szCs w:val="24"/>
              </w:rPr>
            </w:pPr>
            <w:r>
              <w:rPr>
                <w:rFonts w:cs="Times New Roman" w:ascii="Times New Roman" w:hAnsi="Times New Roman"/>
                <w:color w:val="auto"/>
              </w:rPr>
              <w:t>Nautici</w:t>
            </w:r>
          </w:p>
        </w:tc>
        <w:tc>
          <w:tcPr>
            <w:tcW w:w="2550" w:type="dxa"/>
            <w:tcBorders/>
            <w:shd w:color="auto" w:fill="auto" w:val="pct50"/>
          </w:tcPr>
          <w:p>
            <w:pPr>
              <w:pStyle w:val="Normal"/>
              <w:jc w:val="center"/>
              <w:rPr>
                <w:rFonts w:ascii="Times New Roman" w:hAnsi="Times New Roman" w:cs="Times New Roman"/>
                <w:color w:val="auto"/>
              </w:rPr>
            </w:pPr>
            <w:r>
              <w:rPr>
                <w:rFonts w:cs="Times New Roman" w:ascii="Times New Roman" w:hAnsi="Times New Roman"/>
                <w:color w:val="auto"/>
              </w:rPr>
            </w:r>
          </w:p>
        </w:tc>
        <w:tc>
          <w:tcPr>
            <w:tcW w:w="2696" w:type="dxa"/>
            <w:tcBorders/>
            <w:shd w:color="auto" w:fill="auto" w:val="clear"/>
          </w:tcPr>
          <w:p>
            <w:pPr>
              <w:pStyle w:val="Normal"/>
              <w:jc w:val="center"/>
              <w:rPr>
                <w:rFonts w:ascii="Times New Roman" w:hAnsi="Times New Roman" w:cs="Times New Roman"/>
              </w:rPr>
            </w:pPr>
            <w:r>
              <w:rPr>
                <w:rFonts w:cs="Times New Roman" w:ascii="Times New Roman" w:hAnsi="Times New Roman"/>
                <w:color w:val="auto"/>
              </w:rPr>
              <w:t>629</w:t>
            </w:r>
          </w:p>
        </w:tc>
      </w:tr>
    </w:tbl>
    <w:p>
      <w:pPr>
        <w:pStyle w:val="Normal"/>
        <w:ind w:left="284" w:hanging="284"/>
        <w:jc w:val="both"/>
        <w:rPr>
          <w:rFonts w:ascii="Times New Roman" w:hAnsi="Times New Roman" w:cs="Times New Roman"/>
          <w:sz w:val="10"/>
          <w:szCs w:val="10"/>
        </w:rPr>
      </w:pPr>
      <w:r>
        <w:rPr>
          <w:rFonts w:cs="Times New Roman" w:ascii="Times New Roman" w:hAnsi="Times New Roman"/>
          <w:color w:val="auto"/>
        </w:rPr>
        <w:t xml:space="preserve">  </w:t>
      </w:r>
    </w:p>
    <w:p>
      <w:pPr>
        <w:pStyle w:val="Normal"/>
        <w:jc w:val="both"/>
        <w:rPr>
          <w:rFonts w:ascii="Times New Roman" w:hAnsi="Times New Roman" w:cs="Times New Roman"/>
          <w:sz w:val="24"/>
          <w:szCs w:val="24"/>
        </w:rPr>
      </w:pPr>
      <w:r>
        <w:rPr>
          <w:rFonts w:cs="Times New Roman" w:ascii="Times New Roman" w:hAnsi="Times New Roman"/>
          <w:color w:val="auto"/>
        </w:rPr>
        <w:t xml:space="preserve">RITENUTO che, fermi restando i vincoli di destinazione previsti dalla vigente disciplina in materia, si debba procedere alla ripartizione delle suddette risorse, distintamente, per l’anno 2017 e per l’anno 2018; </w:t>
      </w:r>
    </w:p>
    <w:p>
      <w:pPr>
        <w:pStyle w:val="Normal"/>
        <w:tabs>
          <w:tab w:val="clear" w:pos="708"/>
          <w:tab w:val="left" w:pos="9498" w:leader="none"/>
        </w:tabs>
        <w:spacing w:before="120" w:after="120"/>
        <w:jc w:val="both"/>
        <w:rPr>
          <w:rFonts w:ascii="Times New Roman" w:hAnsi="Times New Roman" w:cs="Times New Roman"/>
          <w:color w:val="000000"/>
        </w:rPr>
      </w:pPr>
      <w:r>
        <w:rPr>
          <w:rFonts w:cs="Times New Roman" w:ascii="Times New Roman" w:hAnsi="Times New Roman"/>
          <w:color w:val="auto"/>
        </w:rPr>
        <w:t>PRESO ATTO che per il personale aeronavigante con funzioni di elisoccorritore non è prevista dal vigente quadro normativo una specifica indennità specialistica;</w:t>
      </w:r>
    </w:p>
    <w:p>
      <w:pPr>
        <w:pStyle w:val="Normal"/>
        <w:tabs>
          <w:tab w:val="clear" w:pos="708"/>
          <w:tab w:val="left" w:pos="9498" w:leader="none"/>
        </w:tabs>
        <w:spacing w:before="120" w:after="120"/>
        <w:jc w:val="both"/>
        <w:rPr>
          <w:rFonts w:ascii="Times New Roman" w:hAnsi="Times New Roman" w:cs="Times New Roman"/>
          <w:color w:val="auto"/>
          <w:sz w:val="10"/>
          <w:szCs w:val="10"/>
        </w:rPr>
      </w:pPr>
      <w:r>
        <w:rPr>
          <w:rFonts w:cs="Times New Roman" w:ascii="Times New Roman" w:hAnsi="Times New Roman"/>
          <w:color w:val="auto"/>
          <w:sz w:val="10"/>
          <w:szCs w:val="10"/>
        </w:rPr>
      </w:r>
    </w:p>
    <w:p>
      <w:pPr>
        <w:pStyle w:val="Normal"/>
        <w:tabs>
          <w:tab w:val="clear" w:pos="708"/>
          <w:tab w:val="left" w:pos="9498" w:leader="none"/>
        </w:tabs>
        <w:spacing w:before="120" w:after="120"/>
        <w:jc w:val="center"/>
        <w:rPr>
          <w:rFonts w:ascii="Times New Roman" w:hAnsi="Times New Roman" w:eastAsia="Times New Roman" w:cs="Times New Roman"/>
          <w:color w:val="000000"/>
          <w:w w:val="105"/>
          <w:u w:val="single" w:color="000000"/>
        </w:rPr>
      </w:pPr>
      <w:r>
        <w:rPr>
          <w:rFonts w:eastAsia="Times New Roman" w:cs="Times New Roman" w:ascii="Times New Roman" w:hAnsi="Times New Roman"/>
          <w:color w:val="auto"/>
          <w:w w:val="105"/>
          <w:u w:val="single" w:color="000000"/>
        </w:rPr>
        <w:t>LE</w:t>
      </w:r>
      <w:r>
        <w:rPr>
          <w:rFonts w:eastAsia="Times New Roman" w:cs="Times New Roman" w:ascii="Times New Roman" w:hAnsi="Times New Roman"/>
          <w:color w:val="auto"/>
          <w:spacing w:val="43"/>
          <w:w w:val="105"/>
          <w:u w:val="single" w:color="000000"/>
        </w:rPr>
        <w:t xml:space="preserve"> </w:t>
      </w:r>
      <w:r>
        <w:rPr>
          <w:rFonts w:eastAsia="Times New Roman" w:cs="Times New Roman" w:ascii="Times New Roman" w:hAnsi="Times New Roman"/>
          <w:color w:val="auto"/>
          <w:w w:val="105"/>
          <w:u w:val="single" w:color="000000"/>
        </w:rPr>
        <w:t>PARTI</w:t>
      </w:r>
    </w:p>
    <w:p>
      <w:pPr>
        <w:pStyle w:val="Normal"/>
        <w:tabs>
          <w:tab w:val="clear" w:pos="708"/>
          <w:tab w:val="left" w:pos="9498" w:leader="none"/>
        </w:tabs>
        <w:spacing w:before="120" w:after="120"/>
        <w:jc w:val="center"/>
        <w:rPr>
          <w:rFonts w:ascii="Times New Roman" w:hAnsi="Times New Roman" w:eastAsia="Times New Roman" w:cs="Times New Roman"/>
          <w:color w:val="auto"/>
          <w:w w:val="105"/>
          <w:sz w:val="10"/>
          <w:szCs w:val="10"/>
          <w:u w:val="single" w:color="000000"/>
        </w:rPr>
      </w:pPr>
      <w:r>
        <w:rPr>
          <w:rFonts w:eastAsia="Times New Roman" w:cs="Times New Roman" w:ascii="Times New Roman" w:hAnsi="Times New Roman"/>
          <w:color w:val="auto"/>
          <w:w w:val="105"/>
          <w:sz w:val="10"/>
          <w:szCs w:val="10"/>
          <w:u w:val="single" w:color="000000"/>
        </w:rPr>
      </w:r>
    </w:p>
    <w:p>
      <w:pPr>
        <w:pStyle w:val="Normal"/>
        <w:spacing w:before="0" w:after="120"/>
        <w:ind w:left="142" w:hanging="142"/>
        <w:jc w:val="both"/>
        <w:rPr>
          <w:rFonts w:ascii="Times New Roman" w:hAnsi="Times New Roman" w:cs="Times New Roman"/>
          <w:sz w:val="24"/>
          <w:szCs w:val="24"/>
        </w:rPr>
      </w:pPr>
      <w:r>
        <w:rPr>
          <w:rFonts w:cs="Times New Roman" w:ascii="Times New Roman" w:hAnsi="Times New Roman"/>
          <w:color w:val="auto"/>
        </w:rPr>
        <w:t xml:space="preserve">- atteso che è emersa la volontà, per l’anno 2017, di incrementare nella medesima proporzione le indennità di volo del personale aeronavigante, pilota e specialista, in servizio nella medesima annualità, destinando a tale incremento l’importo di euro 701.622,40 iscritto in bilancio </w:t>
      </w:r>
      <w:r>
        <w:rPr>
          <w:rFonts w:cs="Times New Roman" w:ascii="Times New Roman" w:hAnsi="Times New Roman"/>
          <w:i/>
          <w:color w:val="auto"/>
        </w:rPr>
        <w:t>ex</w:t>
      </w:r>
      <w:r>
        <w:rPr>
          <w:rFonts w:cs="Times New Roman" w:ascii="Times New Roman" w:hAnsi="Times New Roman"/>
          <w:color w:val="auto"/>
        </w:rPr>
        <w:t xml:space="preserve"> art. 15, comma 5, del D. Lgs. n. 177 del 2016; </w:t>
      </w:r>
    </w:p>
    <w:p>
      <w:pPr>
        <w:pStyle w:val="Normal"/>
        <w:spacing w:before="0" w:after="120"/>
        <w:ind w:left="142" w:hanging="142"/>
        <w:jc w:val="both"/>
        <w:rPr>
          <w:rFonts w:ascii="Times New Roman" w:hAnsi="Times New Roman" w:cs="Times New Roman"/>
          <w:sz w:val="24"/>
          <w:szCs w:val="24"/>
        </w:rPr>
      </w:pPr>
      <w:r>
        <w:rPr>
          <w:rFonts w:cs="Times New Roman" w:ascii="Times New Roman" w:hAnsi="Times New Roman"/>
          <w:color w:val="auto"/>
        </w:rPr>
        <w:t xml:space="preserve">- che si è previsto, altresì, di incrementare per l’anno 2018 le indennità del personale aeronavigante, sommozzatore e nautico in servizio nella medesima annualità, impiegando l’importo di euro 904.295,40 iscritto in bilancio </w:t>
      </w:r>
      <w:r>
        <w:rPr>
          <w:rFonts w:cs="Times New Roman" w:ascii="Times New Roman" w:hAnsi="Times New Roman"/>
          <w:i/>
          <w:color w:val="auto"/>
        </w:rPr>
        <w:t>ex</w:t>
      </w:r>
      <w:r>
        <w:rPr>
          <w:rFonts w:cs="Times New Roman" w:ascii="Times New Roman" w:hAnsi="Times New Roman"/>
          <w:color w:val="auto"/>
        </w:rPr>
        <w:t xml:space="preserve"> art. 10, comma 5, del D. Lgs. n. 127 del 2018, nonché, per il solo personale aeronavigante, impiegando l’importo di euro 701.622,40 iscritto in bilancio </w:t>
      </w:r>
      <w:r>
        <w:rPr>
          <w:rFonts w:cs="Times New Roman" w:ascii="Times New Roman" w:hAnsi="Times New Roman"/>
          <w:i/>
          <w:color w:val="auto"/>
        </w:rPr>
        <w:t>ex</w:t>
      </w:r>
      <w:r>
        <w:rPr>
          <w:rFonts w:cs="Times New Roman" w:ascii="Times New Roman" w:hAnsi="Times New Roman"/>
          <w:color w:val="auto"/>
        </w:rPr>
        <w:t xml:space="preserve"> art. 15, comma 5 del D.Lgs. 177 del 2016;</w:t>
      </w:r>
    </w:p>
    <w:p>
      <w:pPr>
        <w:pStyle w:val="Normal"/>
        <w:spacing w:before="0" w:after="120"/>
        <w:ind w:left="142" w:hanging="142"/>
        <w:jc w:val="both"/>
        <w:rPr>
          <w:rFonts w:ascii="Times New Roman" w:hAnsi="Times New Roman" w:cs="Times New Roman"/>
          <w:sz w:val="24"/>
          <w:szCs w:val="24"/>
        </w:rPr>
      </w:pPr>
      <w:r>
        <w:rPr>
          <w:rFonts w:cs="Times New Roman" w:ascii="Times New Roman" w:hAnsi="Times New Roman"/>
          <w:color w:val="auto"/>
        </w:rPr>
        <w:t>- che, all'interno della quota complessiva destinata al personale aeronavigante per l’anno 2018, si è ritenuto altresì di attribuire specifico compenso al personale che sarà inquadrato, con decorrenza 1/1/2018 nel ruolo di specialista elisoccorritore;</w:t>
      </w:r>
    </w:p>
    <w:p>
      <w:pPr>
        <w:pStyle w:val="Normal"/>
        <w:spacing w:before="0" w:after="120"/>
        <w:ind w:left="142" w:hanging="142"/>
        <w:jc w:val="both"/>
        <w:rPr>
          <w:rFonts w:ascii="Times New Roman" w:hAnsi="Times New Roman" w:cs="Times New Roman"/>
          <w:sz w:val="24"/>
          <w:szCs w:val="24"/>
        </w:rPr>
      </w:pPr>
      <w:r>
        <w:rPr>
          <w:rFonts w:cs="Times New Roman" w:ascii="Times New Roman" w:hAnsi="Times New Roman"/>
          <w:color w:val="auto"/>
        </w:rPr>
        <w:t>- che, applicando i predetti criteri di ripartizione, le suddivisione delle risorse risulta essere quella indicata nella seguente tabella:</w:t>
      </w:r>
    </w:p>
    <w:tbl>
      <w:tblPr>
        <w:tblStyle w:val="Grigliatabella"/>
        <w:tblW w:w="9497" w:type="dxa"/>
        <w:jc w:val="left"/>
        <w:tblInd w:w="250" w:type="dxa"/>
        <w:tblCellMar>
          <w:top w:w="0" w:type="dxa"/>
          <w:left w:w="108" w:type="dxa"/>
          <w:bottom w:w="0" w:type="dxa"/>
          <w:right w:w="108" w:type="dxa"/>
        </w:tblCellMar>
        <w:tblLook w:firstRow="1" w:noVBand="1" w:lastRow="0" w:firstColumn="1" w:lastColumn="0" w:noHBand="0" w:val="04a0"/>
      </w:tblPr>
      <w:tblGrid>
        <w:gridCol w:w="2834"/>
        <w:gridCol w:w="1700"/>
        <w:gridCol w:w="1844"/>
        <w:gridCol w:w="1700"/>
        <w:gridCol w:w="1419"/>
      </w:tblGrid>
      <w:tr>
        <w:trPr>
          <w:trHeight w:val="1597" w:hRule="atLeast"/>
        </w:trPr>
        <w:tc>
          <w:tcPr>
            <w:tcW w:w="2834" w:type="dxa"/>
            <w:tcBorders/>
            <w:shd w:color="auto"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color w:val="auto"/>
              </w:rPr>
              <w:t>Specialità</w:t>
            </w:r>
          </w:p>
        </w:tc>
        <w:tc>
          <w:tcPr>
            <w:tcW w:w="1700" w:type="dxa"/>
            <w:tcBorders/>
            <w:shd w:color="auto" w:fill="auto" w:val="clear"/>
            <w:vAlign w:val="center"/>
          </w:tcPr>
          <w:p>
            <w:pPr>
              <w:pStyle w:val="Normal"/>
              <w:jc w:val="center"/>
              <w:rPr>
                <w:rFonts w:ascii="Times New Roman" w:hAnsi="Times New Roman" w:cs="Times New Roman"/>
                <w:b/>
                <w:b/>
                <w:i/>
                <w:i/>
                <w:sz w:val="20"/>
                <w:szCs w:val="20"/>
              </w:rPr>
            </w:pPr>
            <w:r>
              <w:rPr>
                <w:rFonts w:cs="Times New Roman" w:ascii="Times New Roman" w:hAnsi="Times New Roman"/>
                <w:b/>
                <w:i/>
                <w:color w:val="auto"/>
              </w:rPr>
              <w:t>Indennità specialistiche</w:t>
            </w:r>
          </w:p>
          <w:p>
            <w:pPr>
              <w:pStyle w:val="Normal"/>
              <w:jc w:val="center"/>
              <w:rPr>
                <w:rFonts w:ascii="Times New Roman" w:hAnsi="Times New Roman" w:cs="Times New Roman"/>
                <w:b/>
                <w:b/>
                <w:sz w:val="20"/>
                <w:szCs w:val="20"/>
              </w:rPr>
            </w:pPr>
            <w:r>
              <w:rPr>
                <w:rFonts w:cs="Times New Roman" w:ascii="Times New Roman" w:hAnsi="Times New Roman"/>
                <w:b/>
                <w:i/>
                <w:color w:val="auto"/>
              </w:rPr>
              <w:t>misure pro-capite annue vigenti</w:t>
            </w:r>
          </w:p>
        </w:tc>
        <w:tc>
          <w:tcPr>
            <w:tcW w:w="1844" w:type="dxa"/>
            <w:tcBorders/>
            <w:shd w:color="auto"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color w:val="auto"/>
              </w:rPr>
              <w:t xml:space="preserve">Ripartizione risorse </w:t>
            </w:r>
            <w:r>
              <w:rPr>
                <w:rFonts w:cs="Times New Roman" w:ascii="Times New Roman" w:hAnsi="Times New Roman"/>
                <w:b/>
                <w:i/>
                <w:color w:val="auto"/>
              </w:rPr>
              <w:t>ex</w:t>
            </w:r>
            <w:r>
              <w:rPr>
                <w:rFonts w:cs="Times New Roman" w:ascii="Times New Roman" w:hAnsi="Times New Roman"/>
                <w:b/>
                <w:color w:val="auto"/>
              </w:rPr>
              <w:t xml:space="preserve"> art. 15, comma 5 D.Lgs. n. 177/2016</w:t>
            </w:r>
          </w:p>
          <w:p>
            <w:pPr>
              <w:pStyle w:val="Normal"/>
              <w:jc w:val="center"/>
              <w:rPr>
                <w:rFonts w:ascii="Times New Roman" w:hAnsi="Times New Roman" w:cs="Times New Roman"/>
                <w:b/>
                <w:b/>
                <w:sz w:val="20"/>
                <w:szCs w:val="20"/>
              </w:rPr>
            </w:pPr>
            <w:r>
              <w:rPr>
                <w:rFonts w:cs="Times New Roman" w:ascii="Times New Roman" w:hAnsi="Times New Roman"/>
                <w:b/>
                <w:color w:val="auto"/>
              </w:rPr>
              <w:t>(importo lordo dip.)</w:t>
            </w:r>
          </w:p>
        </w:tc>
        <w:tc>
          <w:tcPr>
            <w:tcW w:w="1700" w:type="dxa"/>
            <w:tcBorders/>
            <w:shd w:color="auto"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color w:val="auto"/>
              </w:rPr>
              <w:t xml:space="preserve">Ripartizione risorse </w:t>
            </w:r>
            <w:r>
              <w:rPr>
                <w:rFonts w:cs="Times New Roman" w:ascii="Times New Roman" w:hAnsi="Times New Roman"/>
                <w:b/>
                <w:i/>
                <w:color w:val="auto"/>
              </w:rPr>
              <w:t>ex</w:t>
            </w:r>
            <w:r>
              <w:rPr>
                <w:rFonts w:cs="Times New Roman" w:ascii="Times New Roman" w:hAnsi="Times New Roman"/>
                <w:b/>
                <w:color w:val="auto"/>
              </w:rPr>
              <w:t xml:space="preserve"> art. 10, comma 5, D. Lgs. n. 127/2018 (importo lordo dip.)</w:t>
            </w:r>
          </w:p>
        </w:tc>
        <w:tc>
          <w:tcPr>
            <w:tcW w:w="1419" w:type="dxa"/>
            <w:tcBorders/>
            <w:shd w:color="auto" w:fill="auto" w:val="clear"/>
            <w:vAlign w:val="center"/>
          </w:tcPr>
          <w:p>
            <w:pPr>
              <w:pStyle w:val="Normal"/>
              <w:jc w:val="center"/>
              <w:rPr>
                <w:rFonts w:ascii="Times New Roman" w:hAnsi="Times New Roman" w:cs="Times New Roman"/>
                <w:b/>
                <w:b/>
                <w:sz w:val="20"/>
                <w:szCs w:val="20"/>
              </w:rPr>
            </w:pPr>
            <w:r>
              <w:rPr>
                <w:rFonts w:cs="Times New Roman" w:ascii="Times New Roman" w:hAnsi="Times New Roman"/>
                <w:b/>
                <w:color w:val="auto"/>
              </w:rPr>
              <w:t>Ripartizione complessive risorse</w:t>
            </w:r>
          </w:p>
        </w:tc>
      </w:tr>
      <w:tr>
        <w:trPr>
          <w:trHeight w:val="250" w:hRule="atLeast"/>
        </w:trPr>
        <w:tc>
          <w:tcPr>
            <w:tcW w:w="2834" w:type="dxa"/>
            <w:tcBorders/>
            <w:shd w:color="auto" w:fill="auto" w:val="clear"/>
          </w:tcPr>
          <w:p>
            <w:pPr>
              <w:pStyle w:val="Normal"/>
              <w:jc w:val="both"/>
              <w:rPr>
                <w:rFonts w:ascii="Times New Roman" w:hAnsi="Times New Roman" w:cs="Times New Roman"/>
                <w:sz w:val="20"/>
                <w:szCs w:val="20"/>
              </w:rPr>
            </w:pPr>
            <w:r>
              <w:rPr>
                <w:rFonts w:cs="Times New Roman" w:ascii="Times New Roman" w:hAnsi="Times New Roman"/>
                <w:color w:val="auto"/>
              </w:rPr>
              <w:t>Aeronaviganti - piloti</w:t>
            </w:r>
          </w:p>
        </w:tc>
        <w:tc>
          <w:tcPr>
            <w:tcW w:w="1700" w:type="dxa"/>
            <w:tcBorders/>
            <w:shd w:color="auto" w:fill="auto" w:val="clear"/>
          </w:tcPr>
          <w:p>
            <w:pPr>
              <w:pStyle w:val="Normal"/>
              <w:jc w:val="center"/>
              <w:rPr>
                <w:rFonts w:ascii="Times New Roman" w:hAnsi="Times New Roman" w:cs="Times New Roman"/>
                <w:i/>
                <w:i/>
                <w:sz w:val="20"/>
                <w:szCs w:val="20"/>
              </w:rPr>
            </w:pPr>
            <w:r>
              <w:rPr>
                <w:rFonts w:cs="Times New Roman" w:ascii="Times New Roman" w:hAnsi="Times New Roman"/>
                <w:i/>
                <w:color w:val="auto"/>
              </w:rPr>
              <w:t>7.996,80</w:t>
            </w:r>
          </w:p>
        </w:tc>
        <w:tc>
          <w:tcPr>
            <w:tcW w:w="1844" w:type="dxa"/>
            <w:vMerge w:val="restart"/>
            <w:tcBorders/>
            <w:shd w:color="auto" w:fill="auto" w:val="clear"/>
            <w:vAlign w:val="center"/>
          </w:tcPr>
          <w:p>
            <w:pPr>
              <w:pStyle w:val="Normal"/>
              <w:jc w:val="right"/>
              <w:rPr>
                <w:rFonts w:ascii="Times New Roman" w:hAnsi="Times New Roman" w:cs="Times New Roman"/>
                <w:sz w:val="20"/>
                <w:szCs w:val="20"/>
              </w:rPr>
            </w:pPr>
            <w:r>
              <w:rPr>
                <w:rFonts w:cs="Times New Roman" w:ascii="Times New Roman" w:hAnsi="Times New Roman"/>
                <w:color w:val="auto"/>
              </w:rPr>
              <w:t>701.622,40</w:t>
            </w:r>
          </w:p>
        </w:tc>
        <w:tc>
          <w:tcPr>
            <w:tcW w:w="1700" w:type="dxa"/>
            <w:vMerge w:val="restart"/>
            <w:tcBorders/>
            <w:shd w:color="auto" w:fill="auto" w:val="clear"/>
            <w:vAlign w:val="center"/>
          </w:tcPr>
          <w:p>
            <w:pPr>
              <w:pStyle w:val="Normal"/>
              <w:jc w:val="right"/>
              <w:rPr>
                <w:rFonts w:ascii="Times New Roman" w:hAnsi="Times New Roman" w:cs="Times New Roman"/>
                <w:sz w:val="20"/>
                <w:szCs w:val="20"/>
              </w:rPr>
            </w:pPr>
            <w:r>
              <w:rPr>
                <w:rFonts w:cs="Times New Roman" w:ascii="Times New Roman" w:hAnsi="Times New Roman"/>
                <w:color w:val="auto"/>
              </w:rPr>
              <w:t xml:space="preserve">43.117,38   </w:t>
            </w:r>
          </w:p>
        </w:tc>
        <w:tc>
          <w:tcPr>
            <w:tcW w:w="1419" w:type="dxa"/>
            <w:vMerge w:val="restart"/>
            <w:tcBorders/>
            <w:shd w:color="auto" w:fill="auto" w:val="clear"/>
            <w:vAlign w:val="center"/>
          </w:tcPr>
          <w:p>
            <w:pPr>
              <w:pStyle w:val="Normal"/>
              <w:tabs>
                <w:tab w:val="clear" w:pos="708"/>
                <w:tab w:val="left" w:pos="408" w:leader="none"/>
              </w:tabs>
              <w:jc w:val="right"/>
              <w:rPr>
                <w:rFonts w:ascii="Times New Roman" w:hAnsi="Times New Roman" w:cs="Times New Roman"/>
                <w:b/>
                <w:b/>
                <w:sz w:val="20"/>
                <w:szCs w:val="20"/>
              </w:rPr>
            </w:pPr>
            <w:r>
              <w:rPr>
                <w:rFonts w:cs="Times New Roman" w:ascii="Times New Roman" w:hAnsi="Times New Roman"/>
                <w:b/>
                <w:color w:val="auto"/>
              </w:rPr>
              <w:t xml:space="preserve">744.739,78   </w:t>
            </w:r>
          </w:p>
        </w:tc>
      </w:tr>
      <w:tr>
        <w:trPr/>
        <w:tc>
          <w:tcPr>
            <w:tcW w:w="2834" w:type="dxa"/>
            <w:tcBorders/>
            <w:shd w:color="auto" w:fill="auto" w:val="clear"/>
          </w:tcPr>
          <w:p>
            <w:pPr>
              <w:pStyle w:val="Normal"/>
              <w:jc w:val="both"/>
              <w:rPr>
                <w:rFonts w:ascii="Times New Roman" w:hAnsi="Times New Roman" w:cs="Times New Roman"/>
                <w:sz w:val="20"/>
                <w:szCs w:val="20"/>
              </w:rPr>
            </w:pPr>
            <w:r>
              <w:rPr>
                <w:rFonts w:cs="Times New Roman" w:ascii="Times New Roman" w:hAnsi="Times New Roman"/>
                <w:color w:val="auto"/>
              </w:rPr>
              <w:t>Aeronaviganti - specialisti</w:t>
            </w:r>
          </w:p>
        </w:tc>
        <w:tc>
          <w:tcPr>
            <w:tcW w:w="1700" w:type="dxa"/>
            <w:tcBorders/>
            <w:shd w:color="auto" w:fill="auto" w:val="clear"/>
          </w:tcPr>
          <w:p>
            <w:pPr>
              <w:pStyle w:val="Normal"/>
              <w:jc w:val="center"/>
              <w:rPr>
                <w:rFonts w:ascii="Times New Roman" w:hAnsi="Times New Roman" w:cs="Times New Roman"/>
                <w:i/>
                <w:i/>
                <w:sz w:val="20"/>
                <w:szCs w:val="20"/>
              </w:rPr>
            </w:pPr>
            <w:r>
              <w:rPr>
                <w:rFonts w:cs="Times New Roman" w:ascii="Times New Roman" w:hAnsi="Times New Roman"/>
                <w:i/>
                <w:color w:val="auto"/>
              </w:rPr>
              <w:t>6.785,40</w:t>
            </w:r>
          </w:p>
        </w:tc>
        <w:tc>
          <w:tcPr>
            <w:tcW w:w="1844" w:type="dxa"/>
            <w:vMerge w:val="continue"/>
            <w:tcBorders/>
            <w:shd w:color="auto" w:fill="auto" w:val="clear"/>
          </w:tcPr>
          <w:p>
            <w:pPr>
              <w:pStyle w:val="Normal"/>
              <w:jc w:val="both"/>
              <w:rPr>
                <w:rFonts w:ascii="Times New Roman" w:hAnsi="Times New Roman" w:cs="Times New Roman"/>
                <w:color w:val="auto"/>
              </w:rPr>
            </w:pPr>
            <w:r>
              <w:rPr>
                <w:rFonts w:cs="Times New Roman" w:ascii="Times New Roman" w:hAnsi="Times New Roman"/>
                <w:color w:val="auto"/>
              </w:rPr>
            </w:r>
          </w:p>
        </w:tc>
        <w:tc>
          <w:tcPr>
            <w:tcW w:w="1700" w:type="dxa"/>
            <w:vMerge w:val="continue"/>
            <w:tcBorders/>
            <w:shd w:color="auto" w:fill="auto" w:val="clear"/>
          </w:tcPr>
          <w:p>
            <w:pPr>
              <w:pStyle w:val="Normal"/>
              <w:jc w:val="both"/>
              <w:rPr>
                <w:rFonts w:ascii="Times New Roman" w:hAnsi="Times New Roman" w:cs="Times New Roman"/>
                <w:color w:val="auto"/>
              </w:rPr>
            </w:pPr>
            <w:r>
              <w:rPr>
                <w:rFonts w:cs="Times New Roman" w:ascii="Times New Roman" w:hAnsi="Times New Roman"/>
                <w:color w:val="auto"/>
              </w:rPr>
            </w:r>
          </w:p>
        </w:tc>
        <w:tc>
          <w:tcPr>
            <w:tcW w:w="1419" w:type="dxa"/>
            <w:vMerge w:val="continue"/>
            <w:tcBorders/>
            <w:shd w:color="auto" w:fill="auto" w:val="clear"/>
          </w:tcPr>
          <w:p>
            <w:pPr>
              <w:pStyle w:val="Normal"/>
              <w:jc w:val="both"/>
              <w:rPr>
                <w:rFonts w:ascii="Times New Roman" w:hAnsi="Times New Roman" w:cs="Times New Roman"/>
                <w:b/>
                <w:b/>
                <w:color w:val="auto"/>
              </w:rPr>
            </w:pPr>
            <w:r>
              <w:rPr>
                <w:rFonts w:cs="Times New Roman" w:ascii="Times New Roman" w:hAnsi="Times New Roman"/>
                <w:b/>
                <w:color w:val="auto"/>
              </w:rPr>
            </w:r>
          </w:p>
        </w:tc>
      </w:tr>
      <w:tr>
        <w:trPr/>
        <w:tc>
          <w:tcPr>
            <w:tcW w:w="2834" w:type="dxa"/>
            <w:tcBorders/>
            <w:shd w:color="auto" w:fill="auto" w:val="clear"/>
          </w:tcPr>
          <w:p>
            <w:pPr>
              <w:pStyle w:val="Normal"/>
              <w:ind w:right="-108" w:hanging="0"/>
              <w:jc w:val="both"/>
              <w:rPr>
                <w:rFonts w:ascii="Times New Roman" w:hAnsi="Times New Roman" w:cs="Times New Roman"/>
                <w:sz w:val="20"/>
                <w:szCs w:val="20"/>
              </w:rPr>
            </w:pPr>
            <w:r>
              <w:rPr>
                <w:rFonts w:cs="Times New Roman" w:ascii="Times New Roman" w:hAnsi="Times New Roman"/>
                <w:color w:val="auto"/>
              </w:rPr>
              <w:t>Aeronaviganti - elisoccorritori</w:t>
            </w:r>
          </w:p>
        </w:tc>
        <w:tc>
          <w:tcPr>
            <w:tcW w:w="1700" w:type="dxa"/>
            <w:tcBorders/>
            <w:shd w:color="auto" w:fill="auto" w:val="clear"/>
          </w:tcPr>
          <w:p>
            <w:pPr>
              <w:pStyle w:val="Normal"/>
              <w:jc w:val="center"/>
              <w:rPr>
                <w:rFonts w:ascii="Times New Roman" w:hAnsi="Times New Roman" w:cs="Times New Roman"/>
                <w:i/>
                <w:i/>
                <w:color w:val="auto"/>
              </w:rPr>
            </w:pPr>
            <w:r>
              <w:rPr>
                <w:rFonts w:cs="Times New Roman" w:ascii="Times New Roman" w:hAnsi="Times New Roman"/>
                <w:i/>
                <w:color w:val="auto"/>
              </w:rPr>
            </w:r>
          </w:p>
        </w:tc>
        <w:tc>
          <w:tcPr>
            <w:tcW w:w="1844" w:type="dxa"/>
            <w:tcBorders/>
            <w:shd w:color="auto" w:fill="auto" w:val="clear"/>
          </w:tcPr>
          <w:p>
            <w:pPr>
              <w:pStyle w:val="Normal"/>
              <w:jc w:val="both"/>
              <w:rPr>
                <w:rFonts w:ascii="Times New Roman" w:hAnsi="Times New Roman" w:cs="Times New Roman"/>
                <w:color w:val="auto"/>
              </w:rPr>
            </w:pPr>
            <w:r>
              <w:rPr>
                <w:rFonts w:cs="Times New Roman" w:ascii="Times New Roman" w:hAnsi="Times New Roman"/>
                <w:color w:val="auto"/>
              </w:rPr>
            </w:r>
          </w:p>
        </w:tc>
        <w:tc>
          <w:tcPr>
            <w:tcW w:w="1700" w:type="dxa"/>
            <w:tcBorders/>
            <w:shd w:color="auto" w:fill="auto" w:val="clear"/>
          </w:tcPr>
          <w:p>
            <w:pPr>
              <w:pStyle w:val="Normal"/>
              <w:jc w:val="right"/>
              <w:rPr>
                <w:rFonts w:ascii="Times New Roman" w:hAnsi="Times New Roman" w:cs="Times New Roman"/>
                <w:sz w:val="20"/>
                <w:szCs w:val="20"/>
              </w:rPr>
            </w:pPr>
            <w:r>
              <w:rPr>
                <w:rFonts w:cs="Times New Roman" w:ascii="Times New Roman" w:hAnsi="Times New Roman"/>
                <w:color w:val="auto"/>
              </w:rPr>
              <w:t xml:space="preserve">403.200,00   </w:t>
            </w:r>
          </w:p>
        </w:tc>
        <w:tc>
          <w:tcPr>
            <w:tcW w:w="1419" w:type="dxa"/>
            <w:tcBorders/>
            <w:shd w:color="auto" w:fill="auto" w:val="clear"/>
          </w:tcPr>
          <w:p>
            <w:pPr>
              <w:pStyle w:val="Normal"/>
              <w:jc w:val="right"/>
              <w:rPr>
                <w:rFonts w:ascii="Times New Roman" w:hAnsi="Times New Roman" w:cs="Times New Roman"/>
                <w:b/>
                <w:b/>
                <w:sz w:val="20"/>
                <w:szCs w:val="20"/>
              </w:rPr>
            </w:pPr>
            <w:r>
              <w:rPr>
                <w:rFonts w:cs="Times New Roman" w:ascii="Times New Roman" w:hAnsi="Times New Roman"/>
                <w:b/>
                <w:color w:val="auto"/>
              </w:rPr>
              <w:t xml:space="preserve">403.200,00      </w:t>
            </w:r>
          </w:p>
        </w:tc>
      </w:tr>
      <w:tr>
        <w:trPr/>
        <w:tc>
          <w:tcPr>
            <w:tcW w:w="2834" w:type="dxa"/>
            <w:tcBorders/>
            <w:shd w:color="auto" w:fill="auto" w:val="clear"/>
          </w:tcPr>
          <w:p>
            <w:pPr>
              <w:pStyle w:val="Normal"/>
              <w:jc w:val="both"/>
              <w:rPr>
                <w:rFonts w:ascii="Times New Roman" w:hAnsi="Times New Roman" w:cs="Times New Roman"/>
                <w:sz w:val="20"/>
                <w:szCs w:val="20"/>
              </w:rPr>
            </w:pPr>
            <w:r>
              <w:rPr>
                <w:rFonts w:cs="Times New Roman" w:ascii="Times New Roman" w:hAnsi="Times New Roman"/>
                <w:color w:val="auto"/>
              </w:rPr>
              <w:t>Sommozzatori</w:t>
            </w:r>
          </w:p>
        </w:tc>
        <w:tc>
          <w:tcPr>
            <w:tcW w:w="1700" w:type="dxa"/>
            <w:tcBorders/>
            <w:shd w:color="auto" w:fill="auto" w:val="clear"/>
          </w:tcPr>
          <w:p>
            <w:pPr>
              <w:pStyle w:val="Normal"/>
              <w:jc w:val="center"/>
              <w:rPr>
                <w:rFonts w:ascii="Times New Roman" w:hAnsi="Times New Roman" w:cs="Times New Roman"/>
                <w:i/>
                <w:i/>
                <w:sz w:val="20"/>
                <w:szCs w:val="20"/>
              </w:rPr>
            </w:pPr>
            <w:r>
              <w:rPr>
                <w:rFonts w:cs="Times New Roman" w:ascii="Times New Roman" w:hAnsi="Times New Roman"/>
                <w:i/>
                <w:color w:val="auto"/>
              </w:rPr>
              <w:t>3.838,08</w:t>
            </w:r>
          </w:p>
        </w:tc>
        <w:tc>
          <w:tcPr>
            <w:tcW w:w="1844" w:type="dxa"/>
            <w:tcBorders/>
            <w:shd w:color="auto" w:fill="auto" w:val="clear"/>
          </w:tcPr>
          <w:p>
            <w:pPr>
              <w:pStyle w:val="Normal"/>
              <w:jc w:val="both"/>
              <w:rPr>
                <w:rFonts w:ascii="Times New Roman" w:hAnsi="Times New Roman" w:cs="Times New Roman"/>
                <w:color w:val="auto"/>
              </w:rPr>
            </w:pPr>
            <w:r>
              <w:rPr>
                <w:rFonts w:cs="Times New Roman" w:ascii="Times New Roman" w:hAnsi="Times New Roman"/>
                <w:color w:val="auto"/>
              </w:rPr>
            </w:r>
          </w:p>
        </w:tc>
        <w:tc>
          <w:tcPr>
            <w:tcW w:w="1700" w:type="dxa"/>
            <w:tcBorders/>
            <w:shd w:color="auto" w:fill="auto" w:val="clear"/>
          </w:tcPr>
          <w:p>
            <w:pPr>
              <w:pStyle w:val="Normal"/>
              <w:jc w:val="right"/>
              <w:rPr>
                <w:rFonts w:ascii="Times New Roman" w:hAnsi="Times New Roman" w:cs="Times New Roman"/>
                <w:sz w:val="20"/>
                <w:szCs w:val="20"/>
              </w:rPr>
            </w:pPr>
            <w:r>
              <w:rPr>
                <w:rFonts w:cs="Times New Roman" w:ascii="Times New Roman" w:hAnsi="Times New Roman"/>
                <w:color w:val="auto"/>
              </w:rPr>
              <w:t xml:space="preserve"> </w:t>
            </w:r>
            <w:r>
              <w:rPr>
                <w:rFonts w:cs="Times New Roman" w:ascii="Times New Roman" w:hAnsi="Times New Roman"/>
                <w:color w:val="auto"/>
              </w:rPr>
              <w:t xml:space="preserve">301.584,94   </w:t>
            </w:r>
          </w:p>
        </w:tc>
        <w:tc>
          <w:tcPr>
            <w:tcW w:w="1419" w:type="dxa"/>
            <w:tcBorders/>
            <w:shd w:color="auto" w:fill="auto" w:val="clear"/>
          </w:tcPr>
          <w:p>
            <w:pPr>
              <w:pStyle w:val="Normal"/>
              <w:jc w:val="right"/>
              <w:rPr>
                <w:rFonts w:ascii="Times New Roman" w:hAnsi="Times New Roman" w:cs="Times New Roman"/>
                <w:b/>
                <w:b/>
                <w:sz w:val="20"/>
                <w:szCs w:val="20"/>
              </w:rPr>
            </w:pPr>
            <w:r>
              <w:rPr>
                <w:rFonts w:cs="Times New Roman" w:ascii="Times New Roman" w:hAnsi="Times New Roman"/>
                <w:b/>
                <w:color w:val="auto"/>
              </w:rPr>
              <w:t xml:space="preserve"> </w:t>
            </w:r>
            <w:r>
              <w:rPr>
                <w:rFonts w:cs="Times New Roman" w:ascii="Times New Roman" w:hAnsi="Times New Roman"/>
                <w:b/>
                <w:color w:val="auto"/>
              </w:rPr>
              <w:t xml:space="preserve">301.584,94   </w:t>
            </w:r>
          </w:p>
        </w:tc>
      </w:tr>
      <w:tr>
        <w:trPr/>
        <w:tc>
          <w:tcPr>
            <w:tcW w:w="2834" w:type="dxa"/>
            <w:tcBorders/>
            <w:shd w:color="auto" w:fill="auto" w:val="clear"/>
          </w:tcPr>
          <w:p>
            <w:pPr>
              <w:pStyle w:val="Normal"/>
              <w:jc w:val="both"/>
              <w:rPr>
                <w:rFonts w:ascii="Times New Roman" w:hAnsi="Times New Roman" w:cs="Times New Roman"/>
                <w:sz w:val="20"/>
                <w:szCs w:val="20"/>
              </w:rPr>
            </w:pPr>
            <w:r>
              <w:rPr>
                <w:rFonts w:cs="Times New Roman" w:ascii="Times New Roman" w:hAnsi="Times New Roman"/>
                <w:color w:val="auto"/>
              </w:rPr>
              <w:t>Nautici</w:t>
            </w:r>
          </w:p>
        </w:tc>
        <w:tc>
          <w:tcPr>
            <w:tcW w:w="1700" w:type="dxa"/>
            <w:tcBorders/>
            <w:shd w:color="auto" w:fill="auto" w:val="clear"/>
          </w:tcPr>
          <w:p>
            <w:pPr>
              <w:pStyle w:val="Normal"/>
              <w:jc w:val="center"/>
              <w:rPr>
                <w:rFonts w:ascii="Times New Roman" w:hAnsi="Times New Roman" w:cs="Times New Roman"/>
                <w:i/>
                <w:i/>
                <w:sz w:val="20"/>
                <w:szCs w:val="20"/>
              </w:rPr>
            </w:pPr>
            <w:r>
              <w:rPr>
                <w:rFonts w:cs="Times New Roman" w:ascii="Times New Roman" w:hAnsi="Times New Roman"/>
                <w:i/>
                <w:color w:val="auto"/>
              </w:rPr>
              <w:t>1.398,60</w:t>
            </w:r>
          </w:p>
        </w:tc>
        <w:tc>
          <w:tcPr>
            <w:tcW w:w="1844" w:type="dxa"/>
            <w:tcBorders/>
            <w:shd w:color="auto" w:fill="auto" w:val="clear"/>
          </w:tcPr>
          <w:p>
            <w:pPr>
              <w:pStyle w:val="Normal"/>
              <w:jc w:val="both"/>
              <w:rPr>
                <w:rFonts w:ascii="Times New Roman" w:hAnsi="Times New Roman" w:cs="Times New Roman"/>
                <w:color w:val="auto"/>
              </w:rPr>
            </w:pPr>
            <w:r>
              <w:rPr>
                <w:rFonts w:cs="Times New Roman" w:ascii="Times New Roman" w:hAnsi="Times New Roman"/>
                <w:color w:val="auto"/>
              </w:rPr>
            </w:r>
          </w:p>
        </w:tc>
        <w:tc>
          <w:tcPr>
            <w:tcW w:w="1700" w:type="dxa"/>
            <w:tcBorders/>
            <w:shd w:color="auto" w:fill="auto" w:val="clear"/>
          </w:tcPr>
          <w:p>
            <w:pPr>
              <w:pStyle w:val="Normal"/>
              <w:jc w:val="right"/>
              <w:rPr>
                <w:rFonts w:ascii="Times New Roman" w:hAnsi="Times New Roman" w:cs="Times New Roman"/>
                <w:sz w:val="20"/>
                <w:szCs w:val="20"/>
              </w:rPr>
            </w:pPr>
            <w:r>
              <w:rPr>
                <w:rFonts w:cs="Times New Roman" w:ascii="Times New Roman" w:hAnsi="Times New Roman"/>
                <w:color w:val="auto"/>
              </w:rPr>
              <w:t xml:space="preserve"> </w:t>
            </w:r>
            <w:r>
              <w:rPr>
                <w:rFonts w:cs="Times New Roman" w:ascii="Times New Roman" w:hAnsi="Times New Roman"/>
                <w:color w:val="auto"/>
              </w:rPr>
              <w:t xml:space="preserve">156.393,08  </w:t>
            </w:r>
          </w:p>
        </w:tc>
        <w:tc>
          <w:tcPr>
            <w:tcW w:w="1419" w:type="dxa"/>
            <w:tcBorders/>
            <w:shd w:color="auto" w:fill="auto" w:val="clear"/>
          </w:tcPr>
          <w:p>
            <w:pPr>
              <w:pStyle w:val="Normal"/>
              <w:jc w:val="right"/>
              <w:rPr>
                <w:rFonts w:ascii="Times New Roman" w:hAnsi="Times New Roman" w:cs="Times New Roman"/>
                <w:b/>
                <w:b/>
                <w:sz w:val="20"/>
                <w:szCs w:val="20"/>
              </w:rPr>
            </w:pPr>
            <w:r>
              <w:rPr>
                <w:rFonts w:cs="Times New Roman" w:ascii="Times New Roman" w:hAnsi="Times New Roman"/>
                <w:b/>
                <w:color w:val="auto"/>
              </w:rPr>
              <w:t xml:space="preserve"> </w:t>
            </w:r>
            <w:r>
              <w:rPr>
                <w:rFonts w:cs="Times New Roman" w:ascii="Times New Roman" w:hAnsi="Times New Roman"/>
                <w:b/>
                <w:color w:val="auto"/>
              </w:rPr>
              <w:t xml:space="preserve">156.393,08  </w:t>
            </w:r>
          </w:p>
        </w:tc>
      </w:tr>
      <w:tr>
        <w:trPr/>
        <w:tc>
          <w:tcPr>
            <w:tcW w:w="2834" w:type="dxa"/>
            <w:tcBorders/>
            <w:shd w:color="auto" w:fill="auto" w:val="clear"/>
          </w:tcPr>
          <w:p>
            <w:pPr>
              <w:pStyle w:val="Normal"/>
              <w:jc w:val="right"/>
              <w:rPr>
                <w:rFonts w:ascii="Times New Roman" w:hAnsi="Times New Roman" w:cs="Times New Roman"/>
                <w:b/>
                <w:b/>
                <w:sz w:val="20"/>
                <w:szCs w:val="20"/>
              </w:rPr>
            </w:pPr>
            <w:r>
              <w:rPr>
                <w:rFonts w:cs="Times New Roman" w:ascii="Times New Roman" w:hAnsi="Times New Roman"/>
                <w:b/>
                <w:color w:val="auto"/>
              </w:rPr>
              <w:t>Totale:</w:t>
            </w:r>
          </w:p>
        </w:tc>
        <w:tc>
          <w:tcPr>
            <w:tcW w:w="1700" w:type="dxa"/>
            <w:tcBorders/>
            <w:shd w:color="auto" w:fill="auto" w:val="clear"/>
          </w:tcPr>
          <w:p>
            <w:pPr>
              <w:pStyle w:val="Normal"/>
              <w:jc w:val="center"/>
              <w:rPr>
                <w:rFonts w:ascii="Times New Roman" w:hAnsi="Times New Roman" w:cs="Times New Roman"/>
                <w:b/>
                <w:b/>
                <w:color w:val="auto"/>
              </w:rPr>
            </w:pPr>
            <w:r>
              <w:rPr>
                <w:rFonts w:cs="Times New Roman" w:ascii="Times New Roman" w:hAnsi="Times New Roman"/>
                <w:b/>
                <w:color w:val="auto"/>
              </w:rPr>
            </w:r>
          </w:p>
        </w:tc>
        <w:tc>
          <w:tcPr>
            <w:tcW w:w="1844" w:type="dxa"/>
            <w:tcBorders/>
            <w:shd w:color="auto" w:fill="auto" w:val="clear"/>
            <w:vAlign w:val="center"/>
          </w:tcPr>
          <w:p>
            <w:pPr>
              <w:pStyle w:val="Normal"/>
              <w:jc w:val="right"/>
              <w:rPr>
                <w:rFonts w:ascii="Times New Roman" w:hAnsi="Times New Roman" w:cs="Times New Roman"/>
                <w:b/>
                <w:b/>
                <w:sz w:val="20"/>
                <w:szCs w:val="20"/>
                <w:u w:val="single"/>
              </w:rPr>
            </w:pPr>
            <w:r>
              <w:rPr>
                <w:rFonts w:cs="Times New Roman" w:ascii="Times New Roman" w:hAnsi="Times New Roman"/>
                <w:b/>
                <w:color w:val="auto"/>
                <w:u w:val="single"/>
              </w:rPr>
              <w:t>701.622,40</w:t>
            </w:r>
          </w:p>
        </w:tc>
        <w:tc>
          <w:tcPr>
            <w:tcW w:w="1700" w:type="dxa"/>
            <w:tcBorders/>
            <w:shd w:color="auto" w:fill="auto" w:val="clear"/>
            <w:vAlign w:val="center"/>
          </w:tcPr>
          <w:p>
            <w:pPr>
              <w:pStyle w:val="Normal"/>
              <w:jc w:val="right"/>
              <w:rPr>
                <w:rFonts w:ascii="Times New Roman" w:hAnsi="Times New Roman" w:cs="Times New Roman"/>
                <w:b/>
                <w:b/>
                <w:sz w:val="20"/>
                <w:szCs w:val="20"/>
                <w:u w:val="single"/>
              </w:rPr>
            </w:pPr>
            <w:r>
              <w:rPr>
                <w:rFonts w:cs="Times New Roman" w:ascii="Times New Roman" w:hAnsi="Times New Roman"/>
                <w:b/>
                <w:color w:val="auto"/>
                <w:u w:val="single"/>
              </w:rPr>
              <w:t>904.295,40</w:t>
            </w:r>
          </w:p>
        </w:tc>
        <w:tc>
          <w:tcPr>
            <w:tcW w:w="1419" w:type="dxa"/>
            <w:tcBorders/>
            <w:shd w:color="auto" w:fill="auto" w:val="clear"/>
            <w:vAlign w:val="center"/>
          </w:tcPr>
          <w:p>
            <w:pPr>
              <w:pStyle w:val="Normal"/>
              <w:jc w:val="right"/>
              <w:rPr>
                <w:rFonts w:ascii="Times New Roman" w:hAnsi="Times New Roman" w:cs="Times New Roman"/>
                <w:b/>
                <w:b/>
                <w:sz w:val="20"/>
                <w:szCs w:val="20"/>
                <w:u w:val="single"/>
              </w:rPr>
            </w:pPr>
            <w:r>
              <w:rPr>
                <w:rFonts w:cs="Times New Roman" w:ascii="Times New Roman" w:hAnsi="Times New Roman"/>
                <w:b/>
                <w:color w:val="auto"/>
                <w:u w:val="single"/>
              </w:rPr>
              <w:t xml:space="preserve">1.605.917,80 </w:t>
            </w:r>
          </w:p>
        </w:tc>
      </w:tr>
    </w:tbl>
    <w:p>
      <w:pPr>
        <w:pStyle w:val="Normal"/>
        <w:tabs>
          <w:tab w:val="clear" w:pos="708"/>
          <w:tab w:val="left" w:pos="9498" w:leader="none"/>
        </w:tabs>
        <w:spacing w:before="120" w:after="120"/>
        <w:jc w:val="both"/>
        <w:rPr>
          <w:rFonts w:ascii="Times New Roman" w:hAnsi="Times New Roman" w:cs="Times New Roman"/>
          <w:color w:val="FF0000"/>
          <w:sz w:val="24"/>
          <w:szCs w:val="24"/>
        </w:rPr>
      </w:pPr>
      <w:r>
        <w:rPr>
          <w:rFonts w:cs="Times New Roman" w:ascii="Times New Roman" w:hAnsi="Times New Roman"/>
          <w:color w:val="auto"/>
        </w:rPr>
        <w:t>- e che si ritiene opportuno incentivare i compiti assolti dal personale aeronavigante con funzioni di elisoccorritore, il quale a normativa vigente non percepisce specifiche indennità specialistiche;</w:t>
      </w:r>
    </w:p>
    <w:p>
      <w:pPr>
        <w:pStyle w:val="Normal"/>
        <w:tabs>
          <w:tab w:val="clear" w:pos="708"/>
          <w:tab w:val="left" w:pos="9498" w:leader="none"/>
        </w:tabs>
        <w:spacing w:before="120" w:after="120"/>
        <w:jc w:val="both"/>
        <w:rPr>
          <w:rFonts w:ascii="Times New Roman" w:hAnsi="Times New Roman" w:cs="Times New Roman"/>
          <w:color w:val="000000"/>
        </w:rPr>
      </w:pPr>
      <w:r>
        <w:rPr>
          <w:rFonts w:cs="Times New Roman" w:ascii="Times New Roman" w:hAnsi="Times New Roman"/>
          <w:color w:val="auto"/>
        </w:rPr>
        <w:t>al termine del confronto,</w:t>
      </w:r>
    </w:p>
    <w:p>
      <w:pPr>
        <w:pStyle w:val="Normal"/>
        <w:tabs>
          <w:tab w:val="clear" w:pos="708"/>
          <w:tab w:val="left" w:pos="9498" w:leader="none"/>
        </w:tabs>
        <w:spacing w:before="120" w:after="120"/>
        <w:jc w:val="both"/>
        <w:rPr>
          <w:rFonts w:ascii="Times New Roman" w:hAnsi="Times New Roman" w:cs="Times New Roman"/>
          <w:color w:val="auto"/>
          <w:sz w:val="10"/>
          <w:szCs w:val="10"/>
        </w:rPr>
      </w:pPr>
      <w:r>
        <w:rPr>
          <w:rFonts w:cs="Times New Roman" w:ascii="Times New Roman" w:hAnsi="Times New Roman"/>
          <w:color w:val="auto"/>
          <w:sz w:val="10"/>
          <w:szCs w:val="10"/>
        </w:rPr>
      </w:r>
    </w:p>
    <w:p>
      <w:pPr>
        <w:pStyle w:val="Normal"/>
        <w:tabs>
          <w:tab w:val="clear" w:pos="708"/>
          <w:tab w:val="left" w:pos="9498" w:leader="none"/>
        </w:tabs>
        <w:spacing w:before="0" w:after="120"/>
        <w:jc w:val="center"/>
        <w:rPr>
          <w:rFonts w:ascii="Times New Roman" w:hAnsi="Times New Roman" w:eastAsia="Times New Roman" w:cs="Times New Roman"/>
          <w:color w:val="000000"/>
          <w:w w:val="110"/>
        </w:rPr>
      </w:pPr>
      <w:r>
        <w:rPr>
          <w:rFonts w:eastAsia="Times New Roman" w:cs="Times New Roman" w:ascii="Times New Roman" w:hAnsi="Times New Roman"/>
          <w:color w:val="auto"/>
          <w:w w:val="110"/>
        </w:rPr>
        <w:t>CONVENGONO</w:t>
      </w:r>
    </w:p>
    <w:p>
      <w:pPr>
        <w:pStyle w:val="Normal"/>
        <w:tabs>
          <w:tab w:val="clear" w:pos="708"/>
          <w:tab w:val="left" w:pos="9498" w:leader="none"/>
        </w:tabs>
        <w:spacing w:before="0" w:after="120"/>
        <w:jc w:val="center"/>
        <w:rPr>
          <w:rFonts w:ascii="Times New Roman" w:hAnsi="Times New Roman" w:eastAsia="Times New Roman" w:cs="Times New Roman"/>
          <w:color w:val="auto"/>
          <w:sz w:val="10"/>
          <w:szCs w:val="10"/>
        </w:rPr>
      </w:pPr>
      <w:r>
        <w:rPr>
          <w:rFonts w:eastAsia="Times New Roman" w:cs="Times New Roman" w:ascii="Times New Roman" w:hAnsi="Times New Roman"/>
          <w:color w:val="auto"/>
          <w:sz w:val="10"/>
          <w:szCs w:val="10"/>
        </w:rPr>
      </w:r>
    </w:p>
    <w:p>
      <w:pPr>
        <w:pStyle w:val="Normal"/>
        <w:tabs>
          <w:tab w:val="clear" w:pos="708"/>
          <w:tab w:val="left" w:pos="9498" w:leader="none"/>
        </w:tabs>
        <w:jc w:val="center"/>
        <w:rPr>
          <w:rFonts w:ascii="Times New Roman" w:hAnsi="Times New Roman" w:cs="Times New Roman"/>
          <w:color w:val="000000"/>
        </w:rPr>
      </w:pPr>
      <w:r>
        <w:rPr>
          <w:rFonts w:cs="Times New Roman" w:ascii="Times New Roman" w:hAnsi="Times New Roman"/>
          <w:color w:val="auto"/>
        </w:rPr>
        <w:t>Articolo 1</w:t>
      </w:r>
    </w:p>
    <w:p>
      <w:pPr>
        <w:pStyle w:val="Normal"/>
        <w:tabs>
          <w:tab w:val="clear" w:pos="708"/>
          <w:tab w:val="left" w:pos="9498" w:leader="none"/>
        </w:tabs>
        <w:spacing w:before="0" w:after="120"/>
        <w:jc w:val="center"/>
        <w:rPr>
          <w:rFonts w:ascii="Times New Roman" w:hAnsi="Times New Roman" w:eastAsia="Calibri" w:cs="Times New Roman"/>
          <w:i/>
          <w:i/>
          <w:sz w:val="24"/>
          <w:szCs w:val="24"/>
        </w:rPr>
      </w:pPr>
      <w:r>
        <w:rPr>
          <w:rFonts w:eastAsia="Calibri" w:cs="Times New Roman" w:ascii="Times New Roman" w:hAnsi="Times New Roman"/>
          <w:i/>
          <w:color w:val="auto"/>
        </w:rPr>
        <w:t>(</w:t>
      </w:r>
      <w:r>
        <w:rPr>
          <w:rFonts w:eastAsia="Calibri" w:cs="Times New Roman" w:ascii="Times New Roman" w:hAnsi="Times New Roman"/>
          <w:i/>
          <w:color w:val="auto"/>
          <w:spacing w:val="1"/>
        </w:rPr>
        <w:t>Personale</w:t>
      </w:r>
      <w:r>
        <w:rPr>
          <w:rFonts w:eastAsia="Calibri" w:cs="Times New Roman" w:ascii="Times New Roman" w:hAnsi="Times New Roman"/>
          <w:i/>
          <w:color w:val="auto"/>
        </w:rPr>
        <w:t xml:space="preserve"> aeronavigante)</w:t>
      </w:r>
    </w:p>
    <w:p>
      <w:pPr>
        <w:pStyle w:val="ListParagraph"/>
        <w:numPr>
          <w:ilvl w:val="0"/>
          <w:numId w:val="1"/>
        </w:numPr>
        <w:spacing w:lineRule="auto" w:line="240" w:before="0" w:after="0"/>
        <w:ind w:left="284" w:hanging="284"/>
        <w:jc w:val="both"/>
        <w:rPr>
          <w:rFonts w:ascii="Times New Roman" w:hAnsi="Times New Roman" w:cs="Times New Roman"/>
          <w:color w:val="000000"/>
        </w:rPr>
      </w:pPr>
      <w:r>
        <w:rPr>
          <w:rFonts w:cs="Times New Roman" w:ascii="Times New Roman" w:hAnsi="Times New Roman"/>
          <w:color w:val="auto"/>
        </w:rPr>
        <w:t>Al personale aeronavigante con funzioni di pilota e specialista in servizio nell’anno 2017 è attribuito, per la suddetta annualità, un compenso pro-capite, a titolo di incremento dell’indennità di specialità percepita, nelle seguenti misure annue:</w:t>
      </w:r>
    </w:p>
    <w:p>
      <w:pPr>
        <w:pStyle w:val="Normal"/>
        <w:tabs>
          <w:tab w:val="clear" w:pos="708"/>
          <w:tab w:val="left" w:pos="9498" w:leader="none"/>
        </w:tabs>
        <w:ind w:firstLine="284"/>
        <w:jc w:val="both"/>
        <w:rPr>
          <w:rFonts w:ascii="Times New Roman" w:hAnsi="Times New Roman" w:cs="Times New Roman"/>
          <w:color w:val="000000"/>
        </w:rPr>
      </w:pPr>
      <w:r>
        <w:rPr>
          <w:rFonts w:cs="Times New Roman" w:ascii="Times New Roman" w:hAnsi="Times New Roman"/>
          <w:color w:val="auto"/>
        </w:rPr>
        <w:t>-  euro 2.264,80 in favore del personale pilota;</w:t>
      </w:r>
    </w:p>
    <w:p>
      <w:pPr>
        <w:pStyle w:val="Normal"/>
        <w:tabs>
          <w:tab w:val="clear" w:pos="708"/>
          <w:tab w:val="left" w:pos="9498" w:leader="none"/>
        </w:tabs>
        <w:spacing w:before="0" w:after="120"/>
        <w:ind w:right="-1" w:firstLine="284"/>
        <w:jc w:val="both"/>
        <w:rPr>
          <w:rFonts w:ascii="Times New Roman" w:hAnsi="Times New Roman" w:cs="Times New Roman"/>
          <w:color w:val="000000"/>
        </w:rPr>
      </w:pPr>
      <w:r>
        <w:rPr>
          <w:rFonts w:cs="Times New Roman" w:ascii="Times New Roman" w:hAnsi="Times New Roman"/>
          <w:color w:val="auto"/>
        </w:rPr>
        <w:t>-  euro 1.921,72 in favore del personale specialista.</w:t>
      </w:r>
    </w:p>
    <w:p>
      <w:pPr>
        <w:pStyle w:val="Normal"/>
        <w:tabs>
          <w:tab w:val="clear" w:pos="708"/>
          <w:tab w:val="left" w:pos="2781" w:leader="none"/>
          <w:tab w:val="left" w:pos="9498" w:leader="none"/>
        </w:tabs>
        <w:ind w:left="284" w:hanging="284"/>
        <w:jc w:val="both"/>
        <w:rPr>
          <w:rFonts w:ascii="Times New Roman" w:hAnsi="Times New Roman" w:cs="Times New Roman"/>
          <w:color w:val="000000"/>
        </w:rPr>
      </w:pPr>
      <w:r>
        <w:rPr>
          <w:rFonts w:cs="Times New Roman" w:ascii="Times New Roman" w:hAnsi="Times New Roman"/>
          <w:color w:val="auto"/>
        </w:rPr>
        <w:t xml:space="preserve">2. Al personale aeronavigante con funzioni  di pilota e specialista in servizio nell’anno 2018 è  attribuito, per la suddetta annualità, un compenso pro-capite, a titolo di incremento dell’indennità di specialità percepita, nelle seguenti misure annue: </w:t>
      </w:r>
    </w:p>
    <w:p>
      <w:pPr>
        <w:pStyle w:val="ListParagraph"/>
        <w:numPr>
          <w:ilvl w:val="0"/>
          <w:numId w:val="2"/>
        </w:numPr>
        <w:tabs>
          <w:tab w:val="clear" w:pos="708"/>
          <w:tab w:val="left" w:pos="9498" w:leader="none"/>
        </w:tabs>
        <w:spacing w:lineRule="auto" w:line="240" w:before="0" w:after="120"/>
        <w:ind w:left="426" w:right="-1" w:hanging="142"/>
        <w:contextualSpacing/>
        <w:jc w:val="both"/>
        <w:rPr>
          <w:rFonts w:ascii="Times New Roman" w:hAnsi="Times New Roman" w:cs="Times New Roman"/>
          <w:color w:val="000000"/>
        </w:rPr>
      </w:pPr>
      <w:r>
        <w:rPr>
          <w:rFonts w:cs="Times New Roman" w:ascii="Times New Roman" w:hAnsi="Times New Roman"/>
          <w:color w:val="auto"/>
        </w:rPr>
        <w:t>euro 2.372,19 in favore del personale pilota;</w:t>
      </w:r>
    </w:p>
    <w:p>
      <w:pPr>
        <w:pStyle w:val="ListParagraph"/>
        <w:numPr>
          <w:ilvl w:val="0"/>
          <w:numId w:val="2"/>
        </w:numPr>
        <w:tabs>
          <w:tab w:val="clear" w:pos="708"/>
          <w:tab w:val="left" w:pos="9498" w:leader="none"/>
        </w:tabs>
        <w:spacing w:lineRule="auto" w:line="240" w:before="0" w:after="120"/>
        <w:ind w:left="426" w:right="-1" w:hanging="142"/>
        <w:contextualSpacing/>
        <w:jc w:val="both"/>
        <w:rPr>
          <w:rFonts w:ascii="Times New Roman" w:hAnsi="Times New Roman" w:cs="Times New Roman"/>
          <w:color w:val="000000"/>
        </w:rPr>
      </w:pPr>
      <w:r>
        <w:rPr>
          <w:rFonts w:cs="Times New Roman" w:ascii="Times New Roman" w:hAnsi="Times New Roman"/>
          <w:color w:val="auto"/>
        </w:rPr>
        <w:t>euro 2.012,84 in favore del personale specialista;</w:t>
      </w:r>
    </w:p>
    <w:p>
      <w:pPr>
        <w:pStyle w:val="Normal"/>
        <w:tabs>
          <w:tab w:val="clear" w:pos="708"/>
          <w:tab w:val="left" w:pos="2781" w:leader="none"/>
          <w:tab w:val="left" w:pos="9498" w:leader="none"/>
        </w:tabs>
        <w:spacing w:before="0" w:after="120"/>
        <w:ind w:left="284" w:hanging="284"/>
        <w:jc w:val="both"/>
        <w:rPr>
          <w:rFonts w:ascii="Times New Roman" w:hAnsi="Times New Roman" w:cs="Times New Roman"/>
          <w:color w:val="000000"/>
        </w:rPr>
      </w:pPr>
      <w:r>
        <w:rPr>
          <w:rFonts w:cs="Times New Roman" w:ascii="Times New Roman" w:hAnsi="Times New Roman"/>
          <w:color w:val="auto"/>
        </w:rPr>
        <w:t>3. Al personale  aeronavigante con  funzioni di elisoccorritore in servizio nell’anno 2018 è attribuito, per la suddetta annualità, un compenso pro-capite nella misura annua di euro 2.400,00.</w:t>
      </w:r>
    </w:p>
    <w:p>
      <w:pPr>
        <w:pStyle w:val="Normal"/>
        <w:tabs>
          <w:tab w:val="clear" w:pos="708"/>
          <w:tab w:val="left" w:pos="284" w:leader="none"/>
          <w:tab w:val="left" w:pos="2781" w:leader="none"/>
          <w:tab w:val="left" w:pos="9498" w:leader="none"/>
        </w:tabs>
        <w:spacing w:before="0" w:after="240"/>
        <w:ind w:left="284" w:hanging="284"/>
        <w:jc w:val="both"/>
        <w:rPr>
          <w:rFonts w:ascii="Times New Roman" w:hAnsi="Times New Roman" w:cs="Times New Roman"/>
          <w:color w:val="000000"/>
        </w:rPr>
      </w:pPr>
      <w:r>
        <w:rPr>
          <w:rFonts w:cs="Times New Roman" w:ascii="Times New Roman" w:hAnsi="Times New Roman"/>
          <w:color w:val="auto"/>
        </w:rPr>
        <w:t>4. A decorrere dall’anno 2019 e sino alla definizione del procedimento negoziale indicato dall’articolo 10, comma 5, terzo periodo, del decreto legislativo n. 127 del 2018, al personale aeronavigante con  funzioni di elisoccorritore è attribuito a titolo di acconto un compenso pro-capite nella misura annua di euro 1.200,00. La corresponsione di tale compenso potrà essere oggetto di conguaglio a seguito del perfezionamento del suddetto procedimento negoziale.</w:t>
      </w:r>
    </w:p>
    <w:p>
      <w:pPr>
        <w:pStyle w:val="Normal"/>
        <w:tabs>
          <w:tab w:val="clear" w:pos="708"/>
          <w:tab w:val="left" w:pos="9498" w:leader="none"/>
        </w:tabs>
        <w:jc w:val="center"/>
        <w:rPr>
          <w:rFonts w:ascii="Times New Roman" w:hAnsi="Times New Roman" w:cs="Times New Roman"/>
          <w:color w:val="000000"/>
        </w:rPr>
      </w:pPr>
      <w:r>
        <w:rPr>
          <w:rFonts w:cs="Times New Roman" w:ascii="Times New Roman" w:hAnsi="Times New Roman"/>
          <w:color w:val="auto"/>
        </w:rPr>
        <w:t>Articolo 2</w:t>
      </w:r>
    </w:p>
    <w:p>
      <w:pPr>
        <w:pStyle w:val="Normal"/>
        <w:tabs>
          <w:tab w:val="clear" w:pos="708"/>
          <w:tab w:val="left" w:pos="9498" w:leader="none"/>
        </w:tabs>
        <w:spacing w:before="0" w:after="120"/>
        <w:ind w:right="-1" w:hanging="0"/>
        <w:jc w:val="center"/>
        <w:rPr>
          <w:rFonts w:ascii="Times New Roman" w:hAnsi="Times New Roman" w:cs="Times New Roman"/>
          <w:i/>
          <w:i/>
          <w:color w:val="000000"/>
        </w:rPr>
      </w:pPr>
      <w:r>
        <w:rPr>
          <w:rFonts w:cs="Times New Roman" w:ascii="Times New Roman" w:hAnsi="Times New Roman"/>
          <w:i/>
          <w:color w:val="auto"/>
        </w:rPr>
        <w:t>(Personale sommozzatore)</w:t>
      </w:r>
    </w:p>
    <w:p>
      <w:pPr>
        <w:pStyle w:val="ListParagraph"/>
        <w:numPr>
          <w:ilvl w:val="0"/>
          <w:numId w:val="3"/>
        </w:numPr>
        <w:tabs>
          <w:tab w:val="clear" w:pos="708"/>
          <w:tab w:val="left" w:pos="2781" w:leader="none"/>
          <w:tab w:val="left" w:pos="9498" w:leader="none"/>
        </w:tabs>
        <w:spacing w:lineRule="auto" w:line="240" w:before="0" w:after="120"/>
        <w:ind w:left="357" w:hanging="357"/>
        <w:jc w:val="both"/>
        <w:rPr>
          <w:rFonts w:ascii="Times New Roman" w:hAnsi="Times New Roman" w:cs="Times New Roman"/>
          <w:color w:val="000000"/>
        </w:rPr>
      </w:pPr>
      <w:r>
        <w:rPr>
          <w:rFonts w:cs="Times New Roman" w:ascii="Times New Roman" w:hAnsi="Times New Roman"/>
          <w:color w:val="auto"/>
        </w:rPr>
        <w:t>Al personale sommozzatore in servizio nell’anno 2018 è attribuito, per la suddetta annualità, un compenso pro-capite, a titolo di incremento dell’indennità di specialità percepita, nella misura annua di euro 682,32.</w:t>
      </w:r>
    </w:p>
    <w:p>
      <w:pPr>
        <w:pStyle w:val="Normal"/>
        <w:tabs>
          <w:tab w:val="clear" w:pos="708"/>
          <w:tab w:val="left" w:pos="9498" w:leader="none"/>
        </w:tabs>
        <w:jc w:val="center"/>
        <w:rPr>
          <w:rFonts w:ascii="Times New Roman" w:hAnsi="Times New Roman" w:cs="Times New Roman"/>
          <w:color w:val="000000"/>
        </w:rPr>
      </w:pPr>
      <w:r>
        <w:rPr>
          <w:rFonts w:cs="Times New Roman" w:ascii="Times New Roman" w:hAnsi="Times New Roman"/>
          <w:color w:val="auto"/>
        </w:rPr>
        <w:t>Articolo 3</w:t>
      </w:r>
    </w:p>
    <w:p>
      <w:pPr>
        <w:pStyle w:val="Normal"/>
        <w:tabs>
          <w:tab w:val="clear" w:pos="708"/>
          <w:tab w:val="left" w:pos="9498" w:leader="none"/>
        </w:tabs>
        <w:spacing w:before="0" w:after="120"/>
        <w:ind w:right="-1" w:hanging="0"/>
        <w:jc w:val="center"/>
        <w:rPr>
          <w:rFonts w:ascii="Times New Roman" w:hAnsi="Times New Roman" w:cs="Times New Roman"/>
          <w:i/>
          <w:i/>
          <w:color w:val="000000"/>
        </w:rPr>
      </w:pPr>
      <w:r>
        <w:rPr>
          <w:rFonts w:cs="Times New Roman" w:ascii="Times New Roman" w:hAnsi="Times New Roman"/>
          <w:i/>
          <w:color w:val="auto"/>
        </w:rPr>
        <w:t>(Personale nautico)</w:t>
      </w:r>
    </w:p>
    <w:p>
      <w:pPr>
        <w:pStyle w:val="ListParagraph"/>
        <w:numPr>
          <w:ilvl w:val="0"/>
          <w:numId w:val="5"/>
        </w:numPr>
        <w:tabs>
          <w:tab w:val="clear" w:pos="708"/>
          <w:tab w:val="left" w:pos="2781" w:leader="none"/>
          <w:tab w:val="left" w:pos="9498" w:leader="none"/>
        </w:tabs>
        <w:spacing w:lineRule="auto" w:line="240" w:before="0" w:after="240"/>
        <w:ind w:left="284" w:hanging="284"/>
        <w:jc w:val="both"/>
        <w:rPr>
          <w:rFonts w:ascii="Times New Roman" w:hAnsi="Times New Roman" w:cs="Times New Roman"/>
          <w:color w:val="000000"/>
        </w:rPr>
      </w:pPr>
      <w:r>
        <w:rPr>
          <w:rFonts w:cs="Times New Roman" w:ascii="Times New Roman" w:hAnsi="Times New Roman"/>
          <w:color w:val="auto"/>
        </w:rPr>
        <w:t>Al personale nautico in servizio nell’anno 2018 è attribuito, per la suddetta annualità, un compenso pro-capite, a titolo di incremento dell’indennità di specialità percepita, nella misura annua di euro 248,64.</w:t>
      </w:r>
    </w:p>
    <w:p>
      <w:pPr>
        <w:pStyle w:val="Normal"/>
        <w:tabs>
          <w:tab w:val="clear" w:pos="708"/>
          <w:tab w:val="left" w:pos="9498" w:leader="none"/>
        </w:tabs>
        <w:jc w:val="center"/>
        <w:rPr>
          <w:rFonts w:ascii="Times New Roman" w:hAnsi="Times New Roman" w:cs="Times New Roman"/>
          <w:color w:val="000000"/>
        </w:rPr>
      </w:pPr>
      <w:r>
        <w:rPr>
          <w:rFonts w:cs="Times New Roman" w:ascii="Times New Roman" w:hAnsi="Times New Roman"/>
          <w:color w:val="auto"/>
        </w:rPr>
        <w:t>Artic</w:t>
      </w:r>
      <w:bookmarkStart w:id="0" w:name="_GoBack"/>
      <w:bookmarkEnd w:id="0"/>
      <w:r>
        <w:rPr>
          <w:rFonts w:cs="Times New Roman" w:ascii="Times New Roman" w:hAnsi="Times New Roman"/>
          <w:color w:val="auto"/>
        </w:rPr>
        <w:t>olo 4</w:t>
      </w:r>
    </w:p>
    <w:p>
      <w:pPr>
        <w:pStyle w:val="Normal"/>
        <w:tabs>
          <w:tab w:val="clear" w:pos="708"/>
          <w:tab w:val="left" w:pos="9498" w:leader="none"/>
        </w:tabs>
        <w:spacing w:before="0" w:after="120"/>
        <w:jc w:val="center"/>
        <w:rPr>
          <w:rFonts w:ascii="Times New Roman" w:hAnsi="Times New Roman" w:cs="Times New Roman"/>
          <w:i/>
          <w:i/>
          <w:color w:val="000000"/>
        </w:rPr>
      </w:pPr>
      <w:r>
        <w:rPr>
          <w:rFonts w:cs="Times New Roman" w:ascii="Times New Roman" w:hAnsi="Times New Roman"/>
          <w:i/>
          <w:color w:val="auto"/>
        </w:rPr>
        <w:t>(Copertura finanziaria e disposizioni finali)</w:t>
      </w:r>
    </w:p>
    <w:p>
      <w:pPr>
        <w:pStyle w:val="ListParagraph"/>
        <w:numPr>
          <w:ilvl w:val="0"/>
          <w:numId w:val="4"/>
        </w:numPr>
        <w:spacing w:lineRule="auto" w:line="240" w:before="0" w:after="120"/>
        <w:contextualSpacing/>
        <w:jc w:val="both"/>
        <w:rPr>
          <w:rFonts w:ascii="Times New Roman" w:hAnsi="Times New Roman" w:cs="Times New Roman"/>
          <w:color w:val="000000"/>
        </w:rPr>
      </w:pPr>
      <w:r>
        <w:rPr>
          <w:rFonts w:cs="Times New Roman" w:ascii="Times New Roman" w:hAnsi="Times New Roman"/>
          <w:color w:val="auto"/>
        </w:rPr>
        <w:t xml:space="preserve">L’onere riferito all’anno 2017 derivante dall’applicazione dell’articolo 1, comma 1 è pari ad euro  931.052,92 (di cui euro 229.430,52 per oneri riflessi a carico dello Stato). L’onere riferito all’anno 2018 derivante dall’applicazione dell’articolo 1, commi 2 e 3 degli articoli 2 e 3 è pari ad euro 2.131.052,92 per l’anno 2019 (di cui euro 525.135,12 per oneri riflessi a carico dello Stato). All’onere finanziario derivante dal presente accordo, pari a complessivi euro 3.062.105,85 (di cui euro 754.565,65 per oneri riflessi a carico dello Stato) </w:t>
      </w:r>
      <w:r>
        <w:rPr>
          <w:rFonts w:cs="Times New Roman" w:ascii="Times New Roman" w:hAnsi="Times New Roman"/>
          <w:color w:val="auto"/>
        </w:rPr>
        <w:t xml:space="preserve">si provvede con le risorse iscritte nell’esercizio finanziario 2019, con decreto del Ministero dell’economia e delle finanze n. 27149 del 2 aprile 2019 nell’ambito degli stanziamenti dei capitoli 1801, piani gestionali 4, 5 e 6 e 1820, piano gestionale 2, e conservate in bilancio ai sensi dell’articolo 18, comma 5, della legge 27 dicembre 2019, n. 160. </w:t>
      </w:r>
    </w:p>
    <w:p>
      <w:pPr>
        <w:pStyle w:val="ListParagraph"/>
        <w:numPr>
          <w:ilvl w:val="0"/>
          <w:numId w:val="4"/>
        </w:numPr>
        <w:tabs>
          <w:tab w:val="clear" w:pos="708"/>
          <w:tab w:val="left" w:pos="2781" w:leader="none"/>
          <w:tab w:val="left" w:pos="9498" w:leader="none"/>
        </w:tabs>
        <w:spacing w:lineRule="auto" w:line="240" w:before="0" w:after="120"/>
        <w:contextualSpacing/>
        <w:jc w:val="both"/>
        <w:rPr>
          <w:rFonts w:ascii="Times New Roman" w:hAnsi="Times New Roman" w:cs="Times New Roman"/>
          <w:color w:val="000000"/>
        </w:rPr>
      </w:pPr>
      <w:r>
        <w:rPr>
          <w:rFonts w:cs="Times New Roman" w:ascii="Times New Roman" w:hAnsi="Times New Roman"/>
          <w:color w:val="auto"/>
        </w:rPr>
        <w:t>All’onere derivante dall’applicazione dell’articolo 1, comma 4, pari ad euro 267.523,00 (di cui 65.923,00 per oneri riflessi a carico dello Stato), si provvede con le risorse certe e stabili dei fondi di amministrazione del personale non dirigente e non direttivo e di produttività del personale direttivo. Le risorse impiegate per tale finalità sono reintegrate all’atto del perfezionamento del procedimento negoziale di cui all’articolo 10, comma 5, terzo periodo, del decreto legislativo n. 127 del 2018.</w:t>
      </w:r>
    </w:p>
    <w:p>
      <w:pPr>
        <w:pStyle w:val="ListParagraph"/>
        <w:numPr>
          <w:ilvl w:val="0"/>
          <w:numId w:val="4"/>
        </w:numPr>
        <w:tabs>
          <w:tab w:val="clear" w:pos="708"/>
          <w:tab w:val="left" w:pos="2781" w:leader="none"/>
          <w:tab w:val="left" w:pos="9498" w:leader="none"/>
        </w:tabs>
        <w:spacing w:lineRule="auto" w:line="240" w:before="0" w:after="120"/>
        <w:contextualSpacing/>
        <w:jc w:val="both"/>
        <w:rPr>
          <w:rFonts w:ascii="Times New Roman" w:hAnsi="Times New Roman" w:cs="Times New Roman"/>
          <w:color w:val="000000"/>
        </w:rPr>
      </w:pPr>
      <w:r>
        <w:rPr>
          <w:rFonts w:cs="Times New Roman" w:ascii="Times New Roman" w:hAnsi="Times New Roman"/>
          <w:color w:val="auto"/>
        </w:rPr>
        <w:t>Il presente accordo integrativo è inviato al visto dell’Ufficio Centrale del Bilancio presso il Ministero dell’Interno ai sensi dell’articolo 5, comma 2, lettera e), del decreto legislativo n. 123 del 2011.</w:t>
      </w:r>
    </w:p>
    <w:p>
      <w:pPr>
        <w:pStyle w:val="Normal"/>
        <w:jc w:val="both"/>
        <w:rPr>
          <w:rFonts w:ascii="Times New Roman" w:hAnsi="Times New Roman" w:cs="Times New Roman"/>
          <w:color w:val="auto"/>
        </w:rPr>
      </w:pPr>
      <w:r>
        <w:rPr>
          <w:rFonts w:cs="Times New Roman" w:ascii="Times New Roman" w:hAnsi="Times New Roman"/>
          <w:color w:val="auto"/>
        </w:rPr>
      </w:r>
    </w:p>
    <w:p>
      <w:pPr>
        <w:pStyle w:val="Normal"/>
        <w:spacing w:lineRule="auto" w:line="360"/>
        <w:jc w:val="both"/>
        <w:rPr>
          <w:rFonts w:ascii="Times New Roman" w:hAnsi="Times New Roman" w:cs="Times New Roman"/>
          <w:color w:val="000000"/>
        </w:rPr>
      </w:pPr>
      <w:r>
        <w:rPr>
          <w:rFonts w:cs="Times New Roman" w:ascii="Times New Roman" w:hAnsi="Times New Roman"/>
          <w:color w:val="auto"/>
        </w:rPr>
        <w:t>Roma, _______________</w:t>
      </w:r>
    </w:p>
    <w:p>
      <w:pPr>
        <w:pStyle w:val="Normal"/>
        <w:spacing w:lineRule="auto" w:line="360"/>
        <w:jc w:val="both"/>
        <w:rPr>
          <w:rFonts w:ascii="Times New Roman" w:hAnsi="Times New Roman" w:cs="Times New Roman"/>
          <w:color w:val="auto"/>
        </w:rPr>
      </w:pPr>
      <w:r>
        <w:rPr>
          <w:rFonts w:cs="Times New Roman" w:ascii="Times New Roman" w:hAnsi="Times New Roman"/>
          <w:color w:val="auto"/>
        </w:rPr>
      </w:r>
    </w:p>
    <w:tbl>
      <w:tblPr>
        <w:tblStyle w:val="Grigliatabella"/>
        <w:tblW w:w="9779" w:type="dxa"/>
        <w:jc w:val="left"/>
        <w:tblInd w:w="0" w:type="dxa"/>
        <w:tblCellMar>
          <w:top w:w="0" w:type="dxa"/>
          <w:left w:w="108" w:type="dxa"/>
          <w:bottom w:w="0" w:type="dxa"/>
          <w:right w:w="108" w:type="dxa"/>
        </w:tblCellMar>
        <w:tblLook w:firstRow="1" w:noVBand="1" w:lastRow="0" w:firstColumn="1" w:lastColumn="0" w:noHBand="0" w:val="04a0"/>
      </w:tblPr>
      <w:tblGrid>
        <w:gridCol w:w="4075"/>
        <w:gridCol w:w="5703"/>
      </w:tblGrid>
      <w:tr>
        <w:trPr/>
        <w:tc>
          <w:tcPr>
            <w:tcW w:w="4075" w:type="dxa"/>
            <w:tcBorders>
              <w:top w:val="nil"/>
              <w:left w:val="nil"/>
              <w:bottom w:val="nil"/>
              <w:right w:val="nil"/>
            </w:tcBorders>
            <w:shd w:color="auto" w:fill="auto" w:val="clear"/>
          </w:tcPr>
          <w:p>
            <w:pPr>
              <w:pStyle w:val="Normal"/>
              <w:rPr>
                <w:rFonts w:ascii="Times New Roman" w:hAnsi="Times New Roman" w:cs="Times New Roman"/>
                <w:color w:val="000000"/>
              </w:rPr>
            </w:pPr>
            <w:r>
              <w:rPr>
                <w:rFonts w:cs="Times New Roman" w:ascii="Times New Roman" w:hAnsi="Times New Roman"/>
                <w:color w:val="auto"/>
              </w:rPr>
              <w:t>IL MINISTRO</w:t>
            </w:r>
          </w:p>
          <w:p>
            <w:pPr>
              <w:pStyle w:val="Normal"/>
              <w:rPr>
                <w:rFonts w:ascii="Times New Roman" w:hAnsi="Times New Roman" w:cs="Times New Roman"/>
                <w:color w:val="auto"/>
              </w:rPr>
            </w:pPr>
            <w:r>
              <w:rPr>
                <w:rFonts w:cs="Times New Roman" w:ascii="Times New Roman" w:hAnsi="Times New Roman"/>
                <w:color w:val="auto"/>
              </w:rPr>
            </w:r>
          </w:p>
          <w:p>
            <w:pPr>
              <w:pStyle w:val="Normal"/>
              <w:rPr>
                <w:rFonts w:ascii="Times New Roman" w:hAnsi="Times New Roman" w:cs="Times New Roman"/>
                <w:color w:val="000000"/>
              </w:rPr>
            </w:pPr>
            <w:r>
              <w:rPr>
                <w:rFonts w:cs="Times New Roman" w:ascii="Times New Roman" w:hAnsi="Times New Roman"/>
                <w:color w:val="auto"/>
              </w:rPr>
              <w:softHyphen/>
              <w:softHyphen/>
              <w:softHyphen/>
              <w:softHyphen/>
              <w:softHyphen/>
              <w:softHyphen/>
              <w:softHyphen/>
              <w:softHyphen/>
              <w:softHyphen/>
              <w:softHyphen/>
              <w:softHyphen/>
              <w:softHyphen/>
              <w:softHyphen/>
              <w:softHyphen/>
              <w:softHyphen/>
              <w:softHyphen/>
              <w:softHyphen/>
              <w:softHyphen/>
              <w:softHyphen/>
              <w:softHyphen/>
              <w:t>______________________________</w:t>
            </w:r>
          </w:p>
        </w:tc>
        <w:tc>
          <w:tcPr>
            <w:tcW w:w="5703" w:type="dxa"/>
            <w:tcBorders>
              <w:top w:val="nil"/>
              <w:left w:val="nil"/>
              <w:bottom w:val="nil"/>
              <w:right w:val="nil"/>
            </w:tcBorders>
            <w:shd w:color="auto" w:fill="auto" w:val="clear"/>
          </w:tcPr>
          <w:p>
            <w:pPr>
              <w:pStyle w:val="Normal"/>
              <w:jc w:val="both"/>
              <w:rPr>
                <w:rFonts w:ascii="Times New Roman" w:hAnsi="Times New Roman" w:cs="Times New Roman"/>
                <w:color w:val="auto"/>
              </w:rPr>
            </w:pPr>
            <w:r>
              <w:rPr>
                <w:rFonts w:cs="Times New Roman" w:ascii="Times New Roman" w:hAnsi="Times New Roman"/>
                <w:color w:val="auto"/>
              </w:rPr>
            </w:r>
          </w:p>
          <w:p>
            <w:pPr>
              <w:pStyle w:val="Normal"/>
              <w:jc w:val="both"/>
              <w:rPr>
                <w:rFonts w:ascii="Times New Roman" w:hAnsi="Times New Roman" w:cs="Times New Roman"/>
                <w:color w:val="000000"/>
              </w:rPr>
            </w:pPr>
            <w:r>
              <w:rPr>
                <w:rFonts w:cs="Times New Roman" w:ascii="Times New Roman" w:hAnsi="Times New Roman"/>
                <w:color w:val="auto"/>
              </w:rPr>
              <w:t>LE ORGANIZZAZIONI SINDACALI DEL PERSONALE DIRETTIVO E DEL PERSONALE NON DIRETTIVO E NON DIRIGENTE</w:t>
            </w:r>
          </w:p>
        </w:tc>
      </w:tr>
      <w:tr>
        <w:trPr/>
        <w:tc>
          <w:tcPr>
            <w:tcW w:w="4075" w:type="dxa"/>
            <w:tcBorders>
              <w:top w:val="nil"/>
              <w:left w:val="nil"/>
              <w:bottom w:val="nil"/>
              <w:right w:val="nil"/>
            </w:tcBorders>
            <w:shd w:color="auto" w:fill="auto" w:val="clear"/>
            <w:vAlign w:val="center"/>
          </w:tcPr>
          <w:p>
            <w:pPr>
              <w:pStyle w:val="Normal"/>
              <w:tabs>
                <w:tab w:val="clear" w:pos="708"/>
                <w:tab w:val="left" w:pos="4111" w:leader="none"/>
                <w:tab w:val="left" w:pos="4253" w:leader="none"/>
              </w:tabs>
              <w:rPr>
                <w:rFonts w:ascii="Times New Roman" w:hAnsi="Times New Roman" w:cs="Times New Roman"/>
                <w:color w:val="000000"/>
              </w:rPr>
            </w:pPr>
            <w:r>
              <w:rPr>
                <w:rFonts w:cs="Times New Roman" w:ascii="Times New Roman" w:hAnsi="Times New Roman"/>
                <w:color w:val="auto"/>
              </w:rPr>
              <w:t>IL CAPO DEL DIPARTIMENTO</w:t>
            </w:r>
          </w:p>
        </w:tc>
        <w:tc>
          <w:tcPr>
            <w:tcW w:w="5703" w:type="dxa"/>
            <w:tcBorders>
              <w:top w:val="nil"/>
              <w:left w:val="nil"/>
              <w:bottom w:val="nil"/>
              <w:right w:val="nil"/>
            </w:tcBorders>
            <w:shd w:color="auto" w:fill="auto" w:val="clear"/>
          </w:tcPr>
          <w:p>
            <w:pPr>
              <w:pStyle w:val="Normal"/>
              <w:tabs>
                <w:tab w:val="clear" w:pos="708"/>
                <w:tab w:val="left" w:pos="4111" w:leader="none"/>
                <w:tab w:val="left" w:pos="4253" w:leader="none"/>
              </w:tabs>
              <w:spacing w:before="120" w:after="120"/>
              <w:rPr>
                <w:rFonts w:ascii="Times New Roman" w:hAnsi="Times New Roman" w:cs="Times New Roman"/>
                <w:color w:val="000000"/>
              </w:rPr>
            </w:pPr>
            <w:r>
              <w:rPr>
                <w:rFonts w:cs="Times New Roman" w:ascii="Times New Roman" w:hAnsi="Times New Roman"/>
                <w:color w:val="auto"/>
              </w:rPr>
              <w:t>________________________________________________</w:t>
            </w:r>
          </w:p>
        </w:tc>
      </w:tr>
      <w:tr>
        <w:trPr/>
        <w:tc>
          <w:tcPr>
            <w:tcW w:w="4075" w:type="dxa"/>
            <w:tcBorders>
              <w:top w:val="nil"/>
              <w:left w:val="nil"/>
              <w:bottom w:val="nil"/>
              <w:right w:val="nil"/>
            </w:tcBorders>
            <w:shd w:color="auto" w:fill="auto" w:val="clear"/>
          </w:tcPr>
          <w:p>
            <w:pPr>
              <w:pStyle w:val="Normal"/>
              <w:tabs>
                <w:tab w:val="clear" w:pos="708"/>
                <w:tab w:val="left" w:pos="4111" w:leader="none"/>
                <w:tab w:val="left" w:pos="4253" w:leader="none"/>
              </w:tabs>
              <w:rPr>
                <w:rFonts w:ascii="Times New Roman" w:hAnsi="Times New Roman" w:cs="Times New Roman"/>
                <w:color w:val="000000"/>
              </w:rPr>
            </w:pPr>
            <w:r>
              <w:rPr>
                <w:rFonts w:cs="Times New Roman" w:ascii="Times New Roman" w:hAnsi="Times New Roman"/>
                <w:color w:val="auto"/>
              </w:rPr>
              <w:t>_________________________________</w:t>
              <w:tab/>
              <w:t>_____________________________</w:t>
              <w:tab/>
            </w:r>
          </w:p>
        </w:tc>
        <w:tc>
          <w:tcPr>
            <w:tcW w:w="5703" w:type="dxa"/>
            <w:tcBorders>
              <w:top w:val="nil"/>
              <w:left w:val="nil"/>
              <w:bottom w:val="nil"/>
              <w:right w:val="nil"/>
            </w:tcBorders>
            <w:shd w:color="auto" w:fill="auto" w:val="clear"/>
          </w:tcPr>
          <w:p>
            <w:pPr>
              <w:pStyle w:val="Normal"/>
              <w:tabs>
                <w:tab w:val="clear" w:pos="708"/>
                <w:tab w:val="left" w:pos="4111" w:leader="none"/>
                <w:tab w:val="left" w:pos="4253" w:leader="none"/>
              </w:tabs>
              <w:spacing w:before="120" w:after="120"/>
              <w:rPr>
                <w:rFonts w:ascii="Times New Roman" w:hAnsi="Times New Roman" w:cs="Times New Roman"/>
                <w:color w:val="auto"/>
              </w:rPr>
            </w:pPr>
            <w:r>
              <w:rPr>
                <w:rFonts w:cs="Times New Roman" w:ascii="Times New Roman" w:hAnsi="Times New Roman"/>
                <w:color w:val="auto"/>
              </w:rPr>
            </w:r>
          </w:p>
        </w:tc>
      </w:tr>
    </w:tbl>
    <w:p>
      <w:pPr>
        <w:pStyle w:val="Normal"/>
        <w:tabs>
          <w:tab w:val="clear" w:pos="708"/>
          <w:tab w:val="left" w:pos="9498" w:leader="none"/>
        </w:tabs>
        <w:ind w:right="-1" w:hanging="0"/>
        <w:rPr>
          <w:color w:val="auto"/>
        </w:rPr>
      </w:pPr>
      <w:r>
        <w:rPr>
          <w:color w:val="auto"/>
        </w:rPr>
      </w:r>
    </w:p>
    <w:sectPr>
      <w:headerReference w:type="default" r:id="rId2"/>
      <w:type w:val="nextPage"/>
      <w:pgSz w:w="11906" w:h="16838"/>
      <w:pgMar w:left="1134" w:right="1134" w:header="142" w:top="3086"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Verdan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Arial Narrow">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6115685" cy="1543685"/>
          <wp:effectExtent l="0" t="0" r="0" b="0"/>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1"/>
                  <a:stretch>
                    <a:fillRect/>
                  </a:stretch>
                </pic:blipFill>
                <pic:spPr bwMode="auto">
                  <a:xfrm>
                    <a:off x="0" y="0"/>
                    <a:ext cx="6115685" cy="1543685"/>
                  </a:xfrm>
                  <a:prstGeom prst="rect">
                    <a:avLst/>
                  </a:prstGeom>
                </pic:spPr>
              </pic:pic>
            </a:graphicData>
          </a:graphic>
        </wp:inline>
      </w:drawing>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o:spid="shape_0" fillcolor="silver" stroked="f" style="position:absolute;margin-left:34.75pt;margin-top:239.55pt;width:412.35pt;height:152.8pt;rotation:315;mso-position-horizontal:center;mso-position-vertical:center;mso-position-vertical-relative:margin" type="shapetype_136">
          <v:path textpathok="t"/>
          <v:textpath on="t" fitshape="t" string="BOZZA" trim="t" style="font-family:&quot;calibri&quot;;font-size:1pt"/>
          <w10:wrap type="none"/>
          <v:fill o:detectmouseclick="t" type="solid" color2="#3f3f3f" opacity="0.5"/>
          <v:stroke color="#3465a4" joinstyle="round" endcap="flat"/>
        </v:shape>
      </w:pict>
    </w:r>
  </w:p>
  <w:p>
    <w:pPr>
      <w:pStyle w:val="Intestazione"/>
      <w:tabs>
        <w:tab w:val="clear" w:pos="4819"/>
        <w:tab w:val="clear" w:pos="9638"/>
      </w:tabs>
      <w:ind w:right="-1" w:hanging="0"/>
      <w:jc w:val="center"/>
      <w:rPr>
        <w:rFonts w:ascii="Times New Roman" w:hAnsi="Times New Roman" w:eastAsia="Arial Unicode MS" w:cs="Times New Roman"/>
      </w:rPr>
    </w:pPr>
    <w:r>
      <w:rPr>
        <w:rFonts w:eastAsia="Arial Unicode MS" w:cs="Times New Roman" w:ascii="Times New Roman" w:hAnsi="Times New Roman"/>
      </w:rPr>
      <w:t>DIPARTIMENTO DEI VIGILI DEL FUOCO, DEL SOCCORSO PUBBLICO E DELLA DIFESA CIVILE</w:t>
    </w:r>
  </w:p>
  <w:p>
    <w:pPr>
      <w:pStyle w:val="Intestazione"/>
      <w:tabs>
        <w:tab w:val="clear" w:pos="4819"/>
        <w:tab w:val="clear" w:pos="9638"/>
      </w:tabs>
      <w:ind w:right="-1" w:hanging="0"/>
      <w:jc w:val="center"/>
      <w:rPr>
        <w:rFonts w:ascii="Arial Narrow" w:hAnsi="Arial Narrow" w:eastAsia="Arial Unicode MS" w:cs="Arial Unicode MS"/>
        <w:b/>
        <w:b/>
        <w:sz w:val="16"/>
        <w:szCs w:val="16"/>
      </w:rPr>
    </w:pPr>
    <w:r>
      <w:rPr>
        <w:rFonts w:eastAsia="Arial Unicode MS" w:cs="Arial Unicode MS" w:ascii="Arial Narrow" w:hAnsi="Arial Narrow"/>
        <w:b/>
        <w:sz w:val="16"/>
        <w:szCs w:val="16"/>
      </w:rPr>
    </w:r>
  </w:p>
  <w:p>
    <w:pPr>
      <w:pStyle w:val="Intestazione"/>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w w:val="105"/>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uiPriority w:val="1"/>
    <w:qFormat/>
    <w:rsid w:val="00903130"/>
    <w:pPr>
      <w:widowControl w:val="false"/>
      <w:bidi w:val="0"/>
      <w:jc w:val="left"/>
    </w:pPr>
    <w:rPr>
      <w:rFonts w:ascii="Calibri" w:hAnsi="Calibri" w:eastAsia="Calibri" w:cs="" w:asciiTheme="minorHAnsi" w:cstheme="minorBidi" w:eastAsiaTheme="minorHAnsi" w:hAnsiTheme="minorHAnsi"/>
      <w:color w:val="auto"/>
      <w:kern w:val="0"/>
      <w:sz w:val="22"/>
      <w:szCs w:val="22"/>
      <w:lang w:eastAsia="en-US" w:val="it-IT" w:bidi="ar-SA"/>
    </w:rPr>
  </w:style>
  <w:style w:type="paragraph" w:styleId="Titolo1">
    <w:name w:val="Heading 1"/>
    <w:basedOn w:val="Normal"/>
    <w:link w:val="Titolo1Carattere"/>
    <w:uiPriority w:val="1"/>
    <w:qFormat/>
    <w:rsid w:val="00ab4ae4"/>
    <w:pPr>
      <w:keepNext w:val="true"/>
      <w:spacing w:before="240" w:after="60"/>
      <w:outlineLvl w:val="0"/>
    </w:pPr>
    <w:rPr>
      <w:rFonts w:ascii="Arial" w:hAnsi="Arial"/>
      <w:b/>
      <w:bCs/>
      <w:kern w:val="2"/>
      <w:sz w:val="32"/>
      <w:szCs w:val="32"/>
      <w:lang w:val="x-none" w:eastAsia="x-none"/>
    </w:rPr>
  </w:style>
  <w:style w:type="paragraph" w:styleId="Titolo3">
    <w:name w:val="Heading 3"/>
    <w:basedOn w:val="Normal"/>
    <w:qFormat/>
    <w:rsid w:val="005d4854"/>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Strong">
    <w:name w:val="Strong"/>
    <w:uiPriority w:val="22"/>
    <w:qFormat/>
    <w:rsid w:val="005d4854"/>
    <w:rPr>
      <w:b/>
      <w:bCs/>
    </w:rPr>
  </w:style>
  <w:style w:type="character" w:styleId="Richiamoallanotaapidipagina" w:customStyle="1">
    <w:name w:val="Richiamo alla nota a piè di pagina"/>
    <w:rPr>
      <w:vertAlign w:val="superscript"/>
    </w:rPr>
  </w:style>
  <w:style w:type="character" w:styleId="FootnoteCharacters" w:customStyle="1">
    <w:name w:val="Footnote Characters"/>
    <w:uiPriority w:val="99"/>
    <w:qFormat/>
    <w:rsid w:val="00e73d99"/>
    <w:rPr>
      <w:vertAlign w:val="superscript"/>
    </w:rPr>
  </w:style>
  <w:style w:type="character" w:styleId="Text111" w:customStyle="1">
    <w:name w:val="text111"/>
    <w:qFormat/>
    <w:rsid w:val="00e73d99"/>
    <w:rPr>
      <w:rFonts w:ascii="Verdana" w:hAnsi="Verdana"/>
      <w:color w:val="4B4B4B"/>
      <w:sz w:val="15"/>
      <w:szCs w:val="15"/>
    </w:rPr>
  </w:style>
  <w:style w:type="character" w:styleId="TestonotaapidipaginaCarattere" w:customStyle="1">
    <w:name w:val="Testo nota a piè di pagina Carattere"/>
    <w:link w:val="Testonotaapidipagina"/>
    <w:uiPriority w:val="99"/>
    <w:qFormat/>
    <w:rsid w:val="009d6fb9"/>
    <w:rPr/>
  </w:style>
  <w:style w:type="character" w:styleId="Titolo1Carattere" w:customStyle="1">
    <w:name w:val="Titolo 1 Carattere"/>
    <w:link w:val="Titolo1"/>
    <w:qFormat/>
    <w:rsid w:val="00c247e3"/>
    <w:rPr>
      <w:rFonts w:ascii="Arial" w:hAnsi="Arial" w:cs="Arial"/>
      <w:b/>
      <w:bCs/>
      <w:kern w:val="2"/>
      <w:sz w:val="32"/>
      <w:szCs w:val="32"/>
    </w:rPr>
  </w:style>
  <w:style w:type="character" w:styleId="Rientrocorpodeltesto3Carattere" w:customStyle="1">
    <w:name w:val="Rientro corpo del testo 3 Carattere"/>
    <w:link w:val="Rientrocorpodeltesto3"/>
    <w:qFormat/>
    <w:rsid w:val="002a4635"/>
    <w:rPr>
      <w:sz w:val="24"/>
    </w:rPr>
  </w:style>
  <w:style w:type="character" w:styleId="Enfasi" w:customStyle="1">
    <w:name w:val="Enfasi"/>
    <w:basedOn w:val="DefaultParagraphFont"/>
    <w:qFormat/>
    <w:rsid w:val="00fb13ba"/>
    <w:rPr>
      <w:i/>
      <w:i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rsid w:val="00ef7b80"/>
    <w:pPr/>
    <w:rPr>
      <w:rFonts w:ascii="Verdana" w:hAnsi="Verdana"/>
      <w:bCs/>
      <w:szCs w:val="20"/>
      <w:lang w:bidi="he-IL"/>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BalloonText">
    <w:name w:val="Balloon Text"/>
    <w:basedOn w:val="Normal"/>
    <w:semiHidden/>
    <w:qFormat/>
    <w:rsid w:val="000223b5"/>
    <w:pPr/>
    <w:rPr>
      <w:rFonts w:ascii="Tahoma" w:hAnsi="Tahoma" w:cs="Tahoma"/>
      <w:sz w:val="16"/>
      <w:szCs w:val="16"/>
    </w:rPr>
  </w:style>
  <w:style w:type="paragraph" w:styleId="NormalWeb">
    <w:name w:val="Normal (Web)"/>
    <w:basedOn w:val="Normal"/>
    <w:uiPriority w:val="99"/>
    <w:qFormat/>
    <w:rsid w:val="005d4854"/>
    <w:pPr>
      <w:spacing w:beforeAutospacing="1" w:afterAutospacing="1"/>
    </w:pPr>
    <w:rPr/>
  </w:style>
  <w:style w:type="paragraph" w:styleId="Intestazioneepidipagina">
    <w:name w:val="Intestazione e piè di pagina"/>
    <w:basedOn w:val="Normal"/>
    <w:qFormat/>
    <w:pPr/>
    <w:rPr/>
  </w:style>
  <w:style w:type="paragraph" w:styleId="Intestazione">
    <w:name w:val="Header"/>
    <w:basedOn w:val="Normal"/>
    <w:rsid w:val="00ab4ae4"/>
    <w:pPr>
      <w:tabs>
        <w:tab w:val="clear" w:pos="708"/>
        <w:tab w:val="center" w:pos="4819" w:leader="none"/>
        <w:tab w:val="right" w:pos="9638" w:leader="none"/>
      </w:tabs>
    </w:pPr>
    <w:rPr/>
  </w:style>
  <w:style w:type="paragraph" w:styleId="Pidipagina">
    <w:name w:val="Footer"/>
    <w:basedOn w:val="Normal"/>
    <w:rsid w:val="00ab4ae4"/>
    <w:pPr>
      <w:tabs>
        <w:tab w:val="clear" w:pos="708"/>
        <w:tab w:val="center" w:pos="4819" w:leader="none"/>
        <w:tab w:val="right" w:pos="9638" w:leader="none"/>
      </w:tabs>
    </w:pPr>
    <w:rPr/>
  </w:style>
  <w:style w:type="paragraph" w:styleId="Rientrocorpodeltesto">
    <w:name w:val="Body Text Indent"/>
    <w:basedOn w:val="Normal"/>
    <w:rsid w:val="00ef7b80"/>
    <w:pPr>
      <w:ind w:left="4956" w:hanging="0"/>
      <w:jc w:val="both"/>
    </w:pPr>
    <w:rPr>
      <w:rFonts w:ascii="Arial" w:hAnsi="Arial"/>
      <w:bCs/>
      <w:szCs w:val="20"/>
      <w:lang w:bidi="he-IL"/>
    </w:rPr>
  </w:style>
  <w:style w:type="paragraph" w:styleId="BodyTextIndent2">
    <w:name w:val="Body Text Indent 2"/>
    <w:basedOn w:val="Normal"/>
    <w:qFormat/>
    <w:rsid w:val="00ef7b80"/>
    <w:pPr>
      <w:ind w:left="5245" w:hanging="289"/>
    </w:pPr>
    <w:rPr>
      <w:szCs w:val="20"/>
    </w:rPr>
  </w:style>
  <w:style w:type="paragraph" w:styleId="Notaapidipagina">
    <w:name w:val="Footnote Text"/>
    <w:basedOn w:val="Normal"/>
    <w:link w:val="TestonotaapidipaginaCarattere"/>
    <w:uiPriority w:val="99"/>
    <w:rsid w:val="00e73d99"/>
    <w:pPr/>
    <w:rPr>
      <w:sz w:val="20"/>
      <w:szCs w:val="20"/>
    </w:rPr>
  </w:style>
  <w:style w:type="paragraph" w:styleId="BlockText">
    <w:name w:val="Block Text"/>
    <w:basedOn w:val="Normal"/>
    <w:qFormat/>
    <w:rsid w:val="000628ad"/>
    <w:pPr>
      <w:ind w:left="4678" w:right="1133" w:hanging="430"/>
    </w:pPr>
    <w:rPr>
      <w:sz w:val="20"/>
      <w:szCs w:val="20"/>
    </w:rPr>
  </w:style>
  <w:style w:type="paragraph" w:styleId="Default" w:customStyle="1">
    <w:name w:val="Default"/>
    <w:qFormat/>
    <w:rsid w:val="009d6fb9"/>
    <w:pPr>
      <w:widowControl/>
      <w:bidi w:val="0"/>
      <w:jc w:val="left"/>
    </w:pPr>
    <w:rPr>
      <w:rFonts w:ascii="Times New Roman" w:hAnsi="Times New Roman" w:eastAsia="Times New Roman" w:cs="Times New Roman"/>
      <w:color w:val="000000"/>
      <w:kern w:val="0"/>
      <w:sz w:val="24"/>
      <w:szCs w:val="24"/>
      <w:lang w:val="it-IT" w:eastAsia="it-IT" w:bidi="ar-SA"/>
    </w:rPr>
  </w:style>
  <w:style w:type="paragraph" w:styleId="BodyTextIndent3">
    <w:name w:val="Body Text Indent 3"/>
    <w:basedOn w:val="Normal"/>
    <w:link w:val="Rientrocorpodeltesto3Carattere"/>
    <w:qFormat/>
    <w:rsid w:val="002a4635"/>
    <w:pPr>
      <w:tabs>
        <w:tab w:val="clear" w:pos="708"/>
        <w:tab w:val="left" w:pos="9639" w:leader="none"/>
      </w:tabs>
      <w:spacing w:lineRule="auto" w:line="360" w:before="120" w:after="120"/>
      <w:ind w:right="1348" w:firstLine="1418"/>
      <w:jc w:val="both"/>
    </w:pPr>
    <w:rPr>
      <w:szCs w:val="20"/>
    </w:rPr>
  </w:style>
  <w:style w:type="paragraph" w:styleId="ListParagraph">
    <w:name w:val="List Paragraph"/>
    <w:basedOn w:val="Normal"/>
    <w:uiPriority w:val="34"/>
    <w:qFormat/>
    <w:rsid w:val="00051c13"/>
    <w:pPr>
      <w:spacing w:lineRule="auto" w:line="276"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263c0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1C9F-0736-4A0F-89BA-085B615E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LibreOffice/6.3.3.2$Windows_X86_64 LibreOffice_project/a64200df03143b798afd1ec74a12ab50359878ed</Application>
  <Pages>4</Pages>
  <Words>1710</Words>
  <Characters>10037</Characters>
  <CharactersWithSpaces>11677</CharactersWithSpaces>
  <Paragraphs>96</Paragraphs>
  <Company>Ministero dell'Interno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2020-07-21T14:42:00Z</dcterms:created>
  <dc:creator>Masciarelli Luca</dc:creator>
  <dc:description/>
  <dc:language>it-IT</dc:language>
  <cp:lastModifiedBy/>
  <cp:lastPrinted>2016-05-26T14:21:00Z</cp:lastPrinted>
  <dcterms:modified xsi:type="dcterms:W3CDTF">2020-07-23T11:49:53Z</dcterms:modified>
  <cp:revision>4</cp:revision>
  <dc:subject/>
  <dc:title>modello Ministero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Ministero dell'Interno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